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07650317" w:rsidR="00531CAA" w:rsidRPr="00D2522C" w:rsidRDefault="001743FF" w:rsidP="00531CAA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УПУТСТВО</w:t>
      </w:r>
      <w:r w:rsidR="00531CAA" w:rsidRPr="00D2522C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>ЗА</w:t>
      </w:r>
      <w:r w:rsidR="00531CAA" w:rsidRPr="00D2522C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>ПОДНОСИОЦЕ</w:t>
      </w:r>
      <w:r w:rsidR="00531CAA" w:rsidRPr="00D2522C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>ПРИЈАВЕ</w:t>
      </w:r>
    </w:p>
    <w:p w14:paraId="2551F22A" w14:textId="77777777" w:rsidR="00531CAA" w:rsidRPr="00D2522C" w:rsidRDefault="00531CAA" w:rsidP="00531CAA">
      <w:pPr>
        <w:rPr>
          <w:lang w:val="hr-HR"/>
        </w:rPr>
      </w:pPr>
    </w:p>
    <w:tbl>
      <w:tblPr>
        <w:tblStyle w:val="Reetkatablice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:rsidRPr="00D2522C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6E713438" w14:textId="77777777" w:rsidR="001743FF" w:rsidRDefault="001743FF" w:rsidP="00D814B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ТРАНСФЕР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ЗА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РАЗВОЈ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ИНСТИТУЦИЈА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НАУКЕ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И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ПОДСТИЦАЈ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  <w:p w14:paraId="2EC0BA01" w14:textId="07ED2F99" w:rsidR="008C756B" w:rsidRPr="00D2522C" w:rsidRDefault="001743FF" w:rsidP="00D814B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НИР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ОД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ЗНАЧАЈА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ЗА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ФЕДЕРАЦИЈУ</w:t>
            </w:r>
            <w:r w:rsidR="008C756B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БиХ</w:t>
            </w:r>
            <w:proofErr w:type="spellEnd"/>
          </w:p>
          <w:p w14:paraId="1390DDC9" w14:textId="5C5F1BE1" w:rsidR="00A40C84" w:rsidRPr="00D2522C" w:rsidRDefault="001743FF" w:rsidP="005F2104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Јавни</w:t>
            </w:r>
            <w:proofErr w:type="spellEnd"/>
            <w:r w:rsidR="00122D47" w:rsidRPr="00D2522C">
              <w:rPr>
                <w:b/>
                <w:bCs/>
                <w:sz w:val="24"/>
                <w:szCs w:val="24"/>
                <w:lang w:val="hr-HR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позив</w:t>
            </w:r>
            <w:proofErr w:type="spellEnd"/>
            <w:r w:rsidR="00A40C84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за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подршку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и</w:t>
            </w:r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покровитељство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програмима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за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промоцију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науке</w:t>
            </w:r>
            <w:proofErr w:type="spellEnd"/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у</w:t>
            </w:r>
            <w:r w:rsidR="00D814B0" w:rsidRPr="00D2522C">
              <w:rPr>
                <w:b/>
                <w:bCs/>
                <w:sz w:val="24"/>
                <w:szCs w:val="24"/>
                <w:lang w:val="hr-HR"/>
              </w:rPr>
              <w:t xml:space="preserve"> 2025. </w:t>
            </w:r>
            <w:proofErr w:type="spellStart"/>
            <w:r>
              <w:rPr>
                <w:b/>
                <w:bCs/>
                <w:sz w:val="24"/>
                <w:szCs w:val="24"/>
                <w:lang w:val="hr-HR"/>
              </w:rPr>
              <w:t>години</w:t>
            </w:r>
            <w:proofErr w:type="spellEnd"/>
          </w:p>
        </w:tc>
      </w:tr>
      <w:tr w:rsidR="008A43F2" w:rsidRPr="00D2522C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</w:t>
            </w:r>
          </w:p>
        </w:tc>
        <w:tc>
          <w:tcPr>
            <w:tcW w:w="3202" w:type="dxa"/>
            <w:vAlign w:val="center"/>
          </w:tcPr>
          <w:p w14:paraId="6D35C93F" w14:textId="6A2C3C6A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проблема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у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одређеној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области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предмет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финансирања</w:t>
            </w:r>
            <w:proofErr w:type="spellEnd"/>
          </w:p>
        </w:tc>
        <w:tc>
          <w:tcPr>
            <w:tcW w:w="6390" w:type="dxa"/>
            <w:vAlign w:val="center"/>
          </w:tcPr>
          <w:p w14:paraId="43765485" w14:textId="050FBCBB" w:rsidR="008A43F2" w:rsidRPr="00D2522C" w:rsidRDefault="001743FF" w:rsidP="00531CAA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Унапређивати</w:t>
            </w:r>
            <w:proofErr w:type="spellEnd"/>
            <w:r w:rsidR="00072C5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</w:t>
            </w:r>
            <w:r w:rsidR="00072C5F" w:rsidRPr="00D2522C">
              <w:rPr>
                <w:lang w:val="hr-HR"/>
              </w:rPr>
              <w:t>-</w:t>
            </w:r>
            <w:r>
              <w:rPr>
                <w:lang w:val="hr-HR"/>
              </w:rPr>
              <w:t>истраживачку</w:t>
            </w:r>
            <w:proofErr w:type="spellEnd"/>
            <w:r w:rsidR="00072C5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072C5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истраживачко</w:t>
            </w:r>
            <w:r w:rsidR="00072C5F" w:rsidRPr="00D2522C">
              <w:rPr>
                <w:lang w:val="hr-HR"/>
              </w:rPr>
              <w:t>-</w:t>
            </w:r>
            <w:r>
              <w:rPr>
                <w:lang w:val="hr-HR"/>
              </w:rPr>
              <w:t>развојну</w:t>
            </w:r>
            <w:proofErr w:type="spellEnd"/>
            <w:r w:rsidR="00072C5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дјелатност</w:t>
            </w:r>
            <w:proofErr w:type="spellEnd"/>
            <w:r w:rsidR="00072C5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072C5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Федерацији</w:t>
            </w:r>
            <w:proofErr w:type="spellEnd"/>
            <w:r w:rsidR="00072C5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БиХ</w:t>
            </w:r>
            <w:proofErr w:type="spellEnd"/>
            <w:r w:rsidR="00072C5F" w:rsidRPr="00D2522C">
              <w:rPr>
                <w:lang w:val="hr-HR"/>
              </w:rPr>
              <w:t>.</w:t>
            </w:r>
          </w:p>
        </w:tc>
      </w:tr>
      <w:tr w:rsidR="008A43F2" w:rsidRPr="00D2522C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2</w:t>
            </w:r>
          </w:p>
        </w:tc>
        <w:tc>
          <w:tcPr>
            <w:tcW w:w="3202" w:type="dxa"/>
            <w:vAlign w:val="center"/>
          </w:tcPr>
          <w:p w14:paraId="3DC1635E" w14:textId="49F4DF7E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Општи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посебни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циљеви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предмет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позива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приоритети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основним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специфичним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програмским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областима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додјелу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буџетских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средстава</w:t>
            </w:r>
            <w:proofErr w:type="spellEnd"/>
          </w:p>
        </w:tc>
        <w:tc>
          <w:tcPr>
            <w:tcW w:w="6390" w:type="dxa"/>
            <w:vAlign w:val="center"/>
          </w:tcPr>
          <w:p w14:paraId="3F0DED95" w14:textId="35681412" w:rsidR="00DD3831" w:rsidRPr="00D2522C" w:rsidRDefault="001743FF" w:rsidP="00821984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развоју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</w:t>
            </w:r>
            <w:r w:rsidR="00602606" w:rsidRPr="00D2522C">
              <w:rPr>
                <w:lang w:val="hr-HR"/>
              </w:rPr>
              <w:t>-</w:t>
            </w:r>
            <w:r>
              <w:rPr>
                <w:lang w:val="hr-HR"/>
              </w:rPr>
              <w:t>истраживачке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истраживачко</w:t>
            </w:r>
            <w:r w:rsidR="00602606" w:rsidRPr="00D2522C">
              <w:rPr>
                <w:lang w:val="hr-HR"/>
              </w:rPr>
              <w:t>-</w:t>
            </w:r>
            <w:r>
              <w:rPr>
                <w:lang w:val="hr-HR"/>
              </w:rPr>
              <w:t>развојне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дјелатности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Федерацији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БиХ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промоција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резултата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истраживачког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рада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дијељење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знања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различитим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облицима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развој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иновативних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дигиталних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рјешења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стварање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одрживог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дигиталног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окружења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истраживању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развоју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информацијско</w:t>
            </w:r>
            <w:r w:rsidR="00602606" w:rsidRPr="00D2522C">
              <w:rPr>
                <w:lang w:val="hr-HR"/>
              </w:rPr>
              <w:t>-</w:t>
            </w:r>
            <w:r>
              <w:rPr>
                <w:lang w:val="hr-HR"/>
              </w:rPr>
              <w:t>комуникацијских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технологија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паметан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раст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просперитетан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инклузиван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друштвени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развој</w:t>
            </w:r>
            <w:proofErr w:type="spellEnd"/>
            <w:r w:rsidR="00602606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издавању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висококвалитетних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научнопопуларних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публикација</w:t>
            </w:r>
            <w:proofErr w:type="spellEnd"/>
            <w:r w:rsidR="00602606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пројектима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дигиталне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трансформације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складу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ЕУ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стратегијом</w:t>
            </w:r>
            <w:proofErr w:type="spellEnd"/>
            <w:r w:rsidR="00602606" w:rsidRPr="00D2522C"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Дигитално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десетљеће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Европе</w:t>
            </w:r>
            <w:proofErr w:type="spellEnd"/>
            <w:r w:rsidR="00602606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Подизање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свијести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заштити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околиша</w:t>
            </w:r>
            <w:proofErr w:type="spellEnd"/>
            <w:r w:rsidR="0060260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климатским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промјенама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нужности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развоја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зелених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вјештина</w:t>
            </w:r>
            <w:proofErr w:type="spellEnd"/>
            <w:r w:rsidR="00602606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пројектима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енергетске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транзиције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складу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Зеленом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агендом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западни</w:t>
            </w:r>
            <w:proofErr w:type="spellEnd"/>
            <w:r w:rsidR="0060260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Балкан</w:t>
            </w:r>
            <w:proofErr w:type="spellEnd"/>
            <w:r w:rsidR="00602606" w:rsidRPr="00D2522C">
              <w:rPr>
                <w:lang w:val="hr-HR"/>
              </w:rPr>
              <w:t>.</w:t>
            </w:r>
          </w:p>
        </w:tc>
      </w:tr>
      <w:tr w:rsidR="008A43F2" w:rsidRPr="00D2522C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3</w:t>
            </w:r>
          </w:p>
        </w:tc>
        <w:tc>
          <w:tcPr>
            <w:tcW w:w="3202" w:type="dxa"/>
            <w:vAlign w:val="center"/>
          </w:tcPr>
          <w:p w14:paraId="1007B6B9" w14:textId="70162A22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Укупна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вриједност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износи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предвиђени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поједине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програмске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области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најнижи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највиши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финансијски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износ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може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бити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додијељен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поједини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пројект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могућности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очекивани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број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ће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из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односно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појединих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програмских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области</w:t>
            </w:r>
            <w:proofErr w:type="spellEnd"/>
          </w:p>
        </w:tc>
        <w:tc>
          <w:tcPr>
            <w:tcW w:w="6390" w:type="dxa"/>
            <w:vAlign w:val="center"/>
          </w:tcPr>
          <w:p w14:paraId="1321231B" w14:textId="153B1951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Укупна</w:t>
            </w:r>
            <w:proofErr w:type="spellEnd"/>
            <w:r w:rsidR="00722A7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вриједност</w:t>
            </w:r>
            <w:proofErr w:type="spellEnd"/>
            <w:r w:rsidR="00722A7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722A74" w:rsidRPr="00D2522C">
              <w:rPr>
                <w:b/>
                <w:bCs/>
                <w:lang w:val="hr-HR"/>
              </w:rPr>
              <w:t xml:space="preserve">: </w:t>
            </w:r>
            <w:r w:rsidR="00D814B0" w:rsidRPr="00D2522C">
              <w:rPr>
                <w:b/>
                <w:bCs/>
                <w:lang w:val="hr-HR"/>
              </w:rPr>
              <w:t>3</w:t>
            </w:r>
            <w:r w:rsidR="00722A74" w:rsidRPr="00D2522C">
              <w:rPr>
                <w:b/>
                <w:bCs/>
                <w:lang w:val="hr-HR"/>
              </w:rPr>
              <w:t xml:space="preserve">00.000,00 </w:t>
            </w:r>
            <w:r>
              <w:rPr>
                <w:b/>
                <w:bCs/>
                <w:lang w:val="hr-HR"/>
              </w:rPr>
              <w:t>КМ</w:t>
            </w:r>
          </w:p>
          <w:p w14:paraId="0223CAC7" w14:textId="5C7C68D6" w:rsidR="00722A74" w:rsidRPr="00D2522C" w:rsidRDefault="001743FF" w:rsidP="00531CAA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Износи</w:t>
            </w:r>
            <w:proofErr w:type="spellEnd"/>
            <w:r w:rsidR="00722A7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предвиђени</w:t>
            </w:r>
            <w:proofErr w:type="spellEnd"/>
            <w:r w:rsidR="00722A7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722A7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поједине</w:t>
            </w:r>
            <w:proofErr w:type="spellEnd"/>
            <w:r w:rsidR="00722A7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програмске</w:t>
            </w:r>
            <w:proofErr w:type="spellEnd"/>
            <w:r w:rsidR="00722A7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области</w:t>
            </w:r>
            <w:proofErr w:type="spellEnd"/>
            <w:r w:rsidR="00722A74" w:rsidRPr="00D2522C">
              <w:rPr>
                <w:lang w:val="hr-HR"/>
              </w:rPr>
              <w:t>:</w:t>
            </w:r>
          </w:p>
          <w:p w14:paraId="622CE59C" w14:textId="77777777" w:rsidR="00E31E1F" w:rsidRPr="00D2522C" w:rsidRDefault="00E31E1F" w:rsidP="00531CAA">
            <w:pPr>
              <w:rPr>
                <w:lang w:val="hr-HR"/>
              </w:rPr>
            </w:pPr>
          </w:p>
          <w:p w14:paraId="5D8D9CEE" w14:textId="61203199" w:rsidR="00821984" w:rsidRPr="00D2522C" w:rsidRDefault="001743FF" w:rsidP="00E31E1F">
            <w:pPr>
              <w:pStyle w:val="Odlomakpopisa"/>
              <w:numPr>
                <w:ilvl w:val="0"/>
                <w:numId w:val="1"/>
              </w:numPr>
              <w:ind w:left="336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Програм</w:t>
            </w:r>
            <w:proofErr w:type="spellEnd"/>
            <w:r w:rsidR="00E31E1F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а</w:t>
            </w:r>
            <w:r w:rsidR="00E31E1F" w:rsidRPr="00D2522C">
              <w:rPr>
                <w:b/>
                <w:bCs/>
                <w:lang w:val="hr-HR"/>
              </w:rPr>
              <w:t>):</w:t>
            </w:r>
          </w:p>
          <w:p w14:paraId="7607D95F" w14:textId="50E7F6C9" w:rsidR="005F2104" w:rsidRPr="00D2522C" w:rsidRDefault="001743FF" w:rsidP="005F2104">
            <w:pPr>
              <w:pStyle w:val="Odlomakpopisa"/>
              <w:numPr>
                <w:ilvl w:val="0"/>
                <w:numId w:val="1"/>
              </w:numPr>
              <w:spacing w:after="120"/>
              <w:ind w:left="484"/>
              <w:rPr>
                <w:lang w:val="hr-HR"/>
              </w:rPr>
            </w:pPr>
            <w:r>
              <w:rPr>
                <w:lang w:val="hr-HR"/>
              </w:rPr>
              <w:t>у</w:t>
            </w:r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категорији</w:t>
            </w:r>
            <w:proofErr w:type="spellEnd"/>
            <w:r w:rsidR="009A16CD" w:rsidRPr="00D2522C">
              <w:rPr>
                <w:lang w:val="hr-HR"/>
              </w:rPr>
              <w:t xml:space="preserve"> „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покровитељство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</w:t>
            </w:r>
            <w:r w:rsidR="00095EC6" w:rsidRPr="00D2522C">
              <w:rPr>
                <w:lang w:val="hr-HR"/>
              </w:rPr>
              <w:t>-</w:t>
            </w:r>
            <w:r>
              <w:rPr>
                <w:lang w:val="hr-HR"/>
              </w:rPr>
              <w:t>популарним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пројектима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издавању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научних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научнопопуларних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публикација</w:t>
            </w:r>
            <w:proofErr w:type="spellEnd"/>
            <w:r w:rsidR="009A16CD" w:rsidRPr="00D2522C">
              <w:rPr>
                <w:lang w:val="hr-HR"/>
              </w:rPr>
              <w:t xml:space="preserve">“ </w:t>
            </w:r>
            <w:r>
              <w:rPr>
                <w:lang w:val="hr-HR"/>
              </w:rPr>
              <w:t>у</w:t>
            </w:r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минималном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износу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A16CD" w:rsidRPr="00D2522C">
              <w:rPr>
                <w:lang w:val="hr-HR"/>
              </w:rPr>
              <w:t xml:space="preserve"> 5.000,00 </w:t>
            </w:r>
            <w:r>
              <w:rPr>
                <w:lang w:val="hr-HR"/>
              </w:rPr>
              <w:t>КМ</w:t>
            </w:r>
            <w:r w:rsidR="009A16CD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максималном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износу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r w:rsidR="00095EC6" w:rsidRPr="00D2522C">
              <w:rPr>
                <w:lang w:val="hr-HR"/>
              </w:rPr>
              <w:t>20</w:t>
            </w:r>
            <w:r w:rsidR="009A16CD" w:rsidRPr="00D2522C">
              <w:rPr>
                <w:lang w:val="hr-HR"/>
              </w:rPr>
              <w:t xml:space="preserve">.000,00 </w:t>
            </w:r>
            <w:r>
              <w:rPr>
                <w:lang w:val="hr-HR"/>
              </w:rPr>
              <w:t>КМ</w:t>
            </w:r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9A16CD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пројекту</w:t>
            </w:r>
            <w:proofErr w:type="spellEnd"/>
            <w:r w:rsidR="00095EC6" w:rsidRPr="00D2522C">
              <w:rPr>
                <w:lang w:val="hr-HR"/>
              </w:rPr>
              <w:t>;</w:t>
            </w:r>
          </w:p>
          <w:p w14:paraId="07D7E674" w14:textId="77777777" w:rsidR="005F2104" w:rsidRPr="00D2522C" w:rsidRDefault="005F2104" w:rsidP="005F2104">
            <w:pPr>
              <w:pStyle w:val="Odlomakpopisa"/>
              <w:spacing w:after="120"/>
              <w:ind w:left="484"/>
              <w:rPr>
                <w:lang w:val="hr-HR"/>
              </w:rPr>
            </w:pPr>
          </w:p>
          <w:p w14:paraId="482F46B0" w14:textId="0490CF89" w:rsidR="00E31E1F" w:rsidRPr="00D2522C" w:rsidRDefault="001743FF" w:rsidP="00E31E1F">
            <w:pPr>
              <w:pStyle w:val="Odlomakpopisa"/>
              <w:numPr>
                <w:ilvl w:val="0"/>
                <w:numId w:val="1"/>
              </w:numPr>
              <w:spacing w:after="120"/>
              <w:ind w:left="336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Програм</w:t>
            </w:r>
            <w:proofErr w:type="spellEnd"/>
            <w:r w:rsidR="00E31E1F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б</w:t>
            </w:r>
            <w:r w:rsidR="00E31E1F" w:rsidRPr="00D2522C">
              <w:rPr>
                <w:b/>
                <w:bCs/>
                <w:lang w:val="hr-HR"/>
              </w:rPr>
              <w:t>):</w:t>
            </w:r>
          </w:p>
          <w:p w14:paraId="48728F43" w14:textId="2CDC1623" w:rsidR="002D5EB0" w:rsidRPr="00D2522C" w:rsidRDefault="001743FF" w:rsidP="002D5EB0">
            <w:pPr>
              <w:pStyle w:val="Odlomakpopisa"/>
              <w:numPr>
                <w:ilvl w:val="0"/>
                <w:numId w:val="1"/>
              </w:numPr>
              <w:spacing w:after="120"/>
              <w:ind w:left="484"/>
              <w:jc w:val="both"/>
              <w:rPr>
                <w:lang w:val="hr-HR"/>
              </w:rPr>
            </w:pPr>
            <w:r>
              <w:rPr>
                <w:lang w:val="hr-HR"/>
              </w:rPr>
              <w:t>у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категорији</w:t>
            </w:r>
            <w:proofErr w:type="spellEnd"/>
            <w:r w:rsidR="002D5EB0" w:rsidRPr="00D2522C">
              <w:rPr>
                <w:lang w:val="hr-HR"/>
              </w:rPr>
              <w:t xml:space="preserve"> „</w:t>
            </w:r>
            <w:proofErr w:type="spellStart"/>
            <w:r>
              <w:rPr>
                <w:lang w:val="hr-HR"/>
              </w:rPr>
              <w:t>Подршка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покровитељство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суорганизацији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популаризацији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научно</w:t>
            </w:r>
            <w:r w:rsidR="002D5EB0" w:rsidRPr="00D2522C">
              <w:rPr>
                <w:lang w:val="hr-HR"/>
              </w:rPr>
              <w:t>-</w:t>
            </w:r>
            <w:r>
              <w:rPr>
                <w:lang w:val="hr-HR"/>
              </w:rPr>
              <w:t>стручних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манифестација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скупова</w:t>
            </w:r>
            <w:proofErr w:type="spellEnd"/>
            <w:r w:rsidR="002D5EB0" w:rsidRPr="00D2522C">
              <w:rPr>
                <w:lang w:val="hr-HR"/>
              </w:rPr>
              <w:t xml:space="preserve">“ </w:t>
            </w:r>
            <w:r>
              <w:rPr>
                <w:lang w:val="hr-HR"/>
              </w:rPr>
              <w:t>у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минималном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износу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2D5EB0" w:rsidRPr="00D2522C">
              <w:rPr>
                <w:lang w:val="hr-HR"/>
              </w:rPr>
              <w:t xml:space="preserve"> 5.000,00 </w:t>
            </w:r>
            <w:r>
              <w:rPr>
                <w:lang w:val="hr-HR"/>
              </w:rPr>
              <w:t>КМ</w:t>
            </w:r>
            <w:r w:rsidR="002D5EB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максималном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износу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2D5EB0" w:rsidRPr="00D2522C">
              <w:rPr>
                <w:lang w:val="hr-HR"/>
              </w:rPr>
              <w:t xml:space="preserve"> 20.000,00 </w:t>
            </w:r>
            <w:r>
              <w:rPr>
                <w:lang w:val="hr-HR"/>
              </w:rPr>
              <w:t>КМ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пројекту</w:t>
            </w:r>
            <w:proofErr w:type="spellEnd"/>
            <w:r w:rsidR="002D5EB0" w:rsidRPr="00D2522C">
              <w:rPr>
                <w:lang w:val="hr-HR"/>
              </w:rPr>
              <w:t>.</w:t>
            </w:r>
          </w:p>
          <w:p w14:paraId="219832DB" w14:textId="3CD979B7" w:rsidR="0025663B" w:rsidRPr="00D2522C" w:rsidRDefault="001743FF" w:rsidP="00095EC6">
            <w:pPr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Уколико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подносилац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апликације</w:t>
            </w:r>
            <w:r w:rsidR="00095EC6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који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аплицира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на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неки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од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програма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Јавног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позива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тражи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износ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мањи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од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минимално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предвиђеног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или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већи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од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максимално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дозвољеног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по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појединачним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програмима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Јавног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позива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, </w:t>
            </w:r>
            <w:r>
              <w:rPr>
                <w:rFonts w:cstheme="minorHAnsi"/>
                <w:noProof/>
                <w:lang w:val="hr-HR"/>
              </w:rPr>
              <w:t>његова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пријава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се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неће</w:t>
            </w:r>
            <w:r w:rsidR="0025663B" w:rsidRPr="00D2522C">
              <w:rPr>
                <w:rFonts w:cstheme="minorHAnsi"/>
                <w:noProof/>
                <w:lang w:val="hr-HR"/>
              </w:rPr>
              <w:t xml:space="preserve"> </w:t>
            </w:r>
            <w:r>
              <w:rPr>
                <w:rFonts w:cstheme="minorHAnsi"/>
                <w:noProof/>
                <w:lang w:val="hr-HR"/>
              </w:rPr>
              <w:t>разматрати</w:t>
            </w:r>
            <w:r w:rsidR="0025663B" w:rsidRPr="00D2522C">
              <w:rPr>
                <w:rFonts w:cstheme="minorHAnsi"/>
                <w:noProof/>
                <w:lang w:val="hr-HR"/>
              </w:rPr>
              <w:t>.</w:t>
            </w:r>
          </w:p>
          <w:p w14:paraId="12F998FF" w14:textId="10123174" w:rsidR="00722A74" w:rsidRPr="00D2522C" w:rsidRDefault="00722A74" w:rsidP="00DD3831">
            <w:pPr>
              <w:pStyle w:val="Odlomakpopisa"/>
              <w:rPr>
                <w:lang w:val="hr-HR"/>
              </w:rPr>
            </w:pPr>
          </w:p>
        </w:tc>
      </w:tr>
      <w:tr w:rsidR="008A43F2" w:rsidRPr="00D2522C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4</w:t>
            </w:r>
          </w:p>
        </w:tc>
        <w:tc>
          <w:tcPr>
            <w:tcW w:w="3202" w:type="dxa"/>
            <w:vAlign w:val="center"/>
          </w:tcPr>
          <w:p w14:paraId="0C3BA00D" w14:textId="5C533F6D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Потенцијални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подносиоци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(</w:t>
            </w:r>
            <w:proofErr w:type="spellStart"/>
            <w:r>
              <w:rPr>
                <w:b/>
                <w:bCs/>
                <w:lang w:val="hr-HR"/>
              </w:rPr>
              <w:t>циљна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група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)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имају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право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поднесу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пријаву</w:t>
            </w:r>
            <w:proofErr w:type="spellEnd"/>
          </w:p>
        </w:tc>
        <w:tc>
          <w:tcPr>
            <w:tcW w:w="6390" w:type="dxa"/>
            <w:vAlign w:val="center"/>
          </w:tcPr>
          <w:p w14:paraId="64D60444" w14:textId="14B15ABF" w:rsidR="00E31E1F" w:rsidRPr="00D2522C" w:rsidRDefault="00E31E1F" w:rsidP="002D5EB0">
            <w:pPr>
              <w:jc w:val="both"/>
              <w:rPr>
                <w:b/>
                <w:bCs/>
                <w:lang w:val="hr-HR"/>
              </w:rPr>
            </w:pPr>
            <w:r w:rsidRPr="00D2522C">
              <w:rPr>
                <w:b/>
                <w:bCs/>
                <w:lang w:val="hr-HR"/>
              </w:rPr>
              <w:t xml:space="preserve">-     </w:t>
            </w:r>
            <w:proofErr w:type="spellStart"/>
            <w:r w:rsidR="001743FF">
              <w:rPr>
                <w:b/>
                <w:bCs/>
                <w:lang w:val="hr-HR"/>
              </w:rPr>
              <w:t>Програм</w:t>
            </w:r>
            <w:proofErr w:type="spellEnd"/>
            <w:r w:rsidRPr="00D2522C">
              <w:rPr>
                <w:b/>
                <w:bCs/>
                <w:lang w:val="hr-HR"/>
              </w:rPr>
              <w:t xml:space="preserve"> </w:t>
            </w:r>
            <w:r w:rsidR="001743FF">
              <w:rPr>
                <w:b/>
                <w:bCs/>
                <w:lang w:val="hr-HR"/>
              </w:rPr>
              <w:t>а</w:t>
            </w:r>
            <w:r w:rsidRPr="00D2522C">
              <w:rPr>
                <w:b/>
                <w:bCs/>
                <w:lang w:val="hr-HR"/>
              </w:rPr>
              <w:t>):</w:t>
            </w:r>
          </w:p>
          <w:p w14:paraId="6CAD0EB9" w14:textId="3C5EF924" w:rsidR="002D5EB0" w:rsidRPr="00D2522C" w:rsidRDefault="005F2104" w:rsidP="00D2680F">
            <w:pPr>
              <w:ind w:left="478" w:hanging="284"/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r w:rsidR="001743FF">
              <w:rPr>
                <w:lang w:val="hr-HR"/>
              </w:rPr>
              <w:t>у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категорији</w:t>
            </w:r>
            <w:proofErr w:type="spellEnd"/>
            <w:r w:rsidR="002D5EB0" w:rsidRPr="00D2522C">
              <w:rPr>
                <w:lang w:val="hr-HR"/>
              </w:rPr>
              <w:t xml:space="preserve"> „</w:t>
            </w:r>
            <w:proofErr w:type="spellStart"/>
            <w:r w:rsidR="001743FF">
              <w:rPr>
                <w:lang w:val="hr-HR"/>
              </w:rPr>
              <w:t>Подршка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покровитељство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научно</w:t>
            </w:r>
            <w:r w:rsidR="002D5EB0" w:rsidRPr="00D2522C">
              <w:rPr>
                <w:lang w:val="hr-HR"/>
              </w:rPr>
              <w:t>-</w:t>
            </w:r>
            <w:r w:rsidR="001743FF">
              <w:rPr>
                <w:lang w:val="hr-HR"/>
              </w:rPr>
              <w:t>популарним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пројектима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издавању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научних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научнопопуларних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публикација</w:t>
            </w:r>
            <w:proofErr w:type="spellEnd"/>
            <w:r w:rsidR="002D5EB0" w:rsidRPr="00D2522C">
              <w:rPr>
                <w:lang w:val="hr-HR"/>
              </w:rPr>
              <w:t xml:space="preserve">“: </w:t>
            </w:r>
          </w:p>
          <w:p w14:paraId="23C5F428" w14:textId="722E873F" w:rsidR="008C756B" w:rsidRPr="00D2522C" w:rsidRDefault="001743FF" w:rsidP="009D29DB">
            <w:pPr>
              <w:pStyle w:val="Odlomakpopisa"/>
              <w:numPr>
                <w:ilvl w:val="0"/>
                <w:numId w:val="2"/>
              </w:numPr>
              <w:ind w:left="619" w:hanging="142"/>
              <w:jc w:val="both"/>
              <w:rPr>
                <w:u w:val="single"/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удружења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грађана</w:t>
            </w:r>
            <w:proofErr w:type="spellEnd"/>
            <w:r w:rsidR="00095EC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закладе</w:t>
            </w:r>
            <w:proofErr w:type="spellEnd"/>
            <w:r w:rsidR="00095EC6" w:rsidRPr="00D2522C"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фондације</w:t>
            </w:r>
            <w:proofErr w:type="spellEnd"/>
            <w:r w:rsidR="00095EC6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друге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непрофитне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организације</w:t>
            </w:r>
            <w:proofErr w:type="spellEnd"/>
            <w:r w:rsidR="00095EC6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осим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високо</w:t>
            </w:r>
            <w:r>
              <w:rPr>
                <w:rFonts w:ascii="Calibri" w:hAnsi="Calibri" w:cs="Calibri"/>
                <w:lang w:val="hr-HR"/>
              </w:rPr>
              <w:t>ш</w:t>
            </w:r>
            <w:r>
              <w:rPr>
                <w:lang w:val="hr-HR"/>
              </w:rPr>
              <w:t>колских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установа</w:t>
            </w:r>
            <w:proofErr w:type="spellEnd"/>
            <w:r w:rsidR="00095EC6" w:rsidRPr="00D2522C">
              <w:rPr>
                <w:lang w:val="hr-HR"/>
              </w:rPr>
              <w:t xml:space="preserve">) </w:t>
            </w:r>
            <w:proofErr w:type="spellStart"/>
            <w:r>
              <w:rPr>
                <w:lang w:val="hr-HR"/>
              </w:rPr>
              <w:t>које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баве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промоцијом</w:t>
            </w:r>
            <w:proofErr w:type="spellEnd"/>
            <w:r w:rsidR="00095EC6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5F2104" w:rsidRPr="00D2522C">
              <w:rPr>
                <w:lang w:val="hr-HR"/>
              </w:rPr>
              <w:t>.</w:t>
            </w:r>
          </w:p>
          <w:p w14:paraId="0504D634" w14:textId="490A07EF" w:rsidR="005F2104" w:rsidRPr="00D2522C" w:rsidRDefault="005F2104" w:rsidP="005F2104">
            <w:pPr>
              <w:jc w:val="both"/>
              <w:rPr>
                <w:u w:val="single"/>
                <w:lang w:val="hr-HR"/>
              </w:rPr>
            </w:pPr>
          </w:p>
          <w:p w14:paraId="20DF2D93" w14:textId="77777777" w:rsidR="00850259" w:rsidRPr="00D2522C" w:rsidRDefault="00850259" w:rsidP="005F2104">
            <w:pPr>
              <w:jc w:val="both"/>
              <w:rPr>
                <w:u w:val="single"/>
                <w:lang w:val="hr-HR"/>
              </w:rPr>
            </w:pPr>
          </w:p>
          <w:p w14:paraId="07FC2088" w14:textId="52B1D413" w:rsidR="00E31E1F" w:rsidRPr="00D2522C" w:rsidRDefault="00E31E1F" w:rsidP="002D5EB0">
            <w:pPr>
              <w:jc w:val="both"/>
              <w:rPr>
                <w:b/>
                <w:bCs/>
                <w:lang w:val="hr-HR"/>
              </w:rPr>
            </w:pPr>
            <w:r w:rsidRPr="00D2522C">
              <w:rPr>
                <w:b/>
                <w:bCs/>
                <w:lang w:val="hr-HR"/>
              </w:rPr>
              <w:t xml:space="preserve">-    </w:t>
            </w:r>
            <w:proofErr w:type="spellStart"/>
            <w:r w:rsidR="001743FF">
              <w:rPr>
                <w:b/>
                <w:bCs/>
                <w:lang w:val="hr-HR"/>
              </w:rPr>
              <w:t>Програм</w:t>
            </w:r>
            <w:proofErr w:type="spellEnd"/>
            <w:r w:rsidRPr="00D2522C">
              <w:rPr>
                <w:b/>
                <w:bCs/>
                <w:lang w:val="hr-HR"/>
              </w:rPr>
              <w:t xml:space="preserve"> </w:t>
            </w:r>
            <w:r w:rsidR="001743FF">
              <w:rPr>
                <w:b/>
                <w:bCs/>
                <w:lang w:val="hr-HR"/>
              </w:rPr>
              <w:t>б</w:t>
            </w:r>
            <w:r w:rsidRPr="00D2522C">
              <w:rPr>
                <w:b/>
                <w:bCs/>
                <w:lang w:val="hr-HR"/>
              </w:rPr>
              <w:t>):</w:t>
            </w:r>
          </w:p>
          <w:p w14:paraId="444A1C5C" w14:textId="7E5EA50D" w:rsidR="002D5EB0" w:rsidRPr="00D2522C" w:rsidRDefault="005F2104" w:rsidP="00D2680F">
            <w:pPr>
              <w:ind w:left="478" w:hanging="284"/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 - </w:t>
            </w:r>
            <w:r w:rsidR="001743FF">
              <w:rPr>
                <w:lang w:val="hr-HR"/>
              </w:rPr>
              <w:t>у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категорији</w:t>
            </w:r>
            <w:proofErr w:type="spellEnd"/>
            <w:r w:rsidR="002D5EB0" w:rsidRPr="00D2522C">
              <w:rPr>
                <w:lang w:val="hr-HR"/>
              </w:rPr>
              <w:t xml:space="preserve"> „</w:t>
            </w:r>
            <w:proofErr w:type="spellStart"/>
            <w:r w:rsidR="001743FF">
              <w:rPr>
                <w:lang w:val="hr-HR"/>
              </w:rPr>
              <w:t>Подршка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покровитељство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суорганизацији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популаризацији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научних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научно</w:t>
            </w:r>
            <w:r w:rsidR="002D5EB0" w:rsidRPr="00D2522C">
              <w:rPr>
                <w:lang w:val="hr-HR"/>
              </w:rPr>
              <w:t>-</w:t>
            </w:r>
            <w:r w:rsidR="001743FF">
              <w:rPr>
                <w:lang w:val="hr-HR"/>
              </w:rPr>
              <w:t>стручних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манифестација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скупова</w:t>
            </w:r>
            <w:proofErr w:type="spellEnd"/>
            <w:r w:rsidR="002D5EB0" w:rsidRPr="00D2522C">
              <w:rPr>
                <w:lang w:val="hr-HR"/>
              </w:rPr>
              <w:t>“:</w:t>
            </w:r>
          </w:p>
          <w:p w14:paraId="6677C825" w14:textId="58382909" w:rsidR="008A43F2" w:rsidRPr="00D2522C" w:rsidRDefault="005F2104" w:rsidP="005F2104">
            <w:pPr>
              <w:pStyle w:val="Odlomakpopisa"/>
              <w:ind w:left="478"/>
              <w:jc w:val="both"/>
              <w:rPr>
                <w:u w:val="single"/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proofErr w:type="spellStart"/>
            <w:r w:rsidR="001743FF">
              <w:rPr>
                <w:lang w:val="hr-HR"/>
              </w:rPr>
              <w:t>удружења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грађана</w:t>
            </w:r>
            <w:proofErr w:type="spellEnd"/>
            <w:r w:rsidR="002D5EB0" w:rsidRPr="00D2522C">
              <w:rPr>
                <w:lang w:val="hr-HR"/>
              </w:rPr>
              <w:t xml:space="preserve">, </w:t>
            </w:r>
            <w:proofErr w:type="spellStart"/>
            <w:r w:rsidR="001743FF">
              <w:rPr>
                <w:lang w:val="hr-HR"/>
              </w:rPr>
              <w:t>закладе</w:t>
            </w:r>
            <w:proofErr w:type="spellEnd"/>
            <w:r w:rsidR="002D5EB0" w:rsidRPr="00D2522C">
              <w:rPr>
                <w:lang w:val="hr-HR"/>
              </w:rPr>
              <w:t>/</w:t>
            </w:r>
            <w:proofErr w:type="spellStart"/>
            <w:r w:rsidR="001743FF">
              <w:rPr>
                <w:lang w:val="hr-HR"/>
              </w:rPr>
              <w:t>фондације</w:t>
            </w:r>
            <w:proofErr w:type="spellEnd"/>
            <w:r w:rsidR="002D5EB0" w:rsidRPr="00D2522C">
              <w:rPr>
                <w:lang w:val="hr-HR"/>
              </w:rPr>
              <w:t xml:space="preserve">, </w:t>
            </w:r>
            <w:proofErr w:type="spellStart"/>
            <w:r w:rsidR="001743FF">
              <w:rPr>
                <w:lang w:val="hr-HR"/>
              </w:rPr>
              <w:t>друге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непрофитне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организације</w:t>
            </w:r>
            <w:proofErr w:type="spellEnd"/>
            <w:r w:rsidR="002D5EB0" w:rsidRPr="00D2522C">
              <w:rPr>
                <w:lang w:val="hr-HR"/>
              </w:rPr>
              <w:t xml:space="preserve"> (</w:t>
            </w:r>
            <w:proofErr w:type="spellStart"/>
            <w:r w:rsidR="001743FF">
              <w:rPr>
                <w:lang w:val="hr-HR"/>
              </w:rPr>
              <w:t>осим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високошколских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установа</w:t>
            </w:r>
            <w:proofErr w:type="spellEnd"/>
            <w:r w:rsidR="002D5EB0" w:rsidRPr="00D2522C">
              <w:rPr>
                <w:lang w:val="hr-HR"/>
              </w:rPr>
              <w:t xml:space="preserve">) </w:t>
            </w:r>
            <w:proofErr w:type="spellStart"/>
            <w:r w:rsidR="001743FF">
              <w:rPr>
                <w:lang w:val="hr-HR"/>
              </w:rPr>
              <w:t>које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баве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промоцијом</w:t>
            </w:r>
            <w:proofErr w:type="spellEnd"/>
            <w:r w:rsidR="002D5EB0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науке</w:t>
            </w:r>
            <w:proofErr w:type="spellEnd"/>
            <w:r w:rsidR="002D5EB0" w:rsidRPr="00D2522C">
              <w:rPr>
                <w:lang w:val="hr-HR"/>
              </w:rPr>
              <w:t>.</w:t>
            </w:r>
          </w:p>
        </w:tc>
      </w:tr>
      <w:tr w:rsidR="008A43F2" w:rsidRPr="00D2522C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65F83940" w:rsidR="008A43F2" w:rsidRPr="00D2522C" w:rsidRDefault="00E31E1F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lastRenderedPageBreak/>
              <w:t xml:space="preserve">  </w:t>
            </w:r>
          </w:p>
        </w:tc>
        <w:tc>
          <w:tcPr>
            <w:tcW w:w="3202" w:type="dxa"/>
            <w:vAlign w:val="center"/>
          </w:tcPr>
          <w:p w14:paraId="4D1182EE" w14:textId="05A7A7EB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Прихватљиве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активности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провођење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33D8B1DD" w14:textId="5B60EFE3" w:rsidR="008A43F2" w:rsidRPr="00D2522C" w:rsidRDefault="001743FF" w:rsidP="002D5EB0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Искључиво</w:t>
            </w:r>
            <w:proofErr w:type="spellEnd"/>
            <w:r w:rsidR="00CD3D81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активности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циљу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реализације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пројекта</w:t>
            </w:r>
            <w:proofErr w:type="spellEnd"/>
            <w:r w:rsidR="00456BE5" w:rsidRPr="00D2522C">
              <w:rPr>
                <w:lang w:val="hr-HR"/>
              </w:rPr>
              <w:t>,</w:t>
            </w:r>
            <w:r w:rsidR="00C353B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које</w:t>
            </w:r>
            <w:proofErr w:type="spellEnd"/>
            <w:r w:rsidR="00C353B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</w:t>
            </w:r>
            <w:proofErr w:type="spellEnd"/>
            <w:r w:rsidR="00C353B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наведене</w:t>
            </w:r>
            <w:proofErr w:type="spellEnd"/>
            <w:r w:rsidR="00C353B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C353B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пројектном</w:t>
            </w:r>
            <w:proofErr w:type="spellEnd"/>
            <w:r w:rsidR="00C353B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плану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сваки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складу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критеријима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Јавног</w:t>
            </w:r>
            <w:proofErr w:type="spellEnd"/>
            <w:r w:rsidR="00456BE5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позива</w:t>
            </w:r>
            <w:proofErr w:type="spellEnd"/>
            <w:r w:rsidR="00C353B4" w:rsidRPr="00D2522C">
              <w:rPr>
                <w:lang w:val="hr-HR"/>
              </w:rPr>
              <w:t>.</w:t>
            </w:r>
          </w:p>
        </w:tc>
      </w:tr>
      <w:tr w:rsidR="008A43F2" w:rsidRPr="00D2522C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6</w:t>
            </w:r>
          </w:p>
        </w:tc>
        <w:tc>
          <w:tcPr>
            <w:tcW w:w="3202" w:type="dxa"/>
            <w:vAlign w:val="center"/>
          </w:tcPr>
          <w:p w14:paraId="04ACFF50" w14:textId="5F89F4EA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Прихватљиви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трошкови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могу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додијељеним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4746E073" w14:textId="5A88FEC3" w:rsidR="00C353B4" w:rsidRPr="00D2522C" w:rsidRDefault="001743FF" w:rsidP="000B5891">
            <w:pPr>
              <w:pStyle w:val="Odlomakpopisa"/>
              <w:numPr>
                <w:ilvl w:val="0"/>
                <w:numId w:val="1"/>
              </w:numPr>
              <w:ind w:left="342"/>
              <w:rPr>
                <w:lang w:val="hr-HR"/>
              </w:rPr>
            </w:pPr>
            <w:proofErr w:type="spellStart"/>
            <w:r>
              <w:rPr>
                <w:b/>
                <w:lang w:val="hr-HR"/>
              </w:rPr>
              <w:t>Програм</w:t>
            </w:r>
            <w:proofErr w:type="spellEnd"/>
            <w:r w:rsidR="00C353B4" w:rsidRPr="00D252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а</w:t>
            </w:r>
            <w:r w:rsidR="00E31E1F" w:rsidRPr="00D2522C">
              <w:rPr>
                <w:b/>
                <w:lang w:val="hr-HR"/>
              </w:rPr>
              <w:t>)</w:t>
            </w:r>
            <w:r w:rsidR="00C353B4" w:rsidRPr="00D2522C">
              <w:rPr>
                <w:lang w:val="hr-HR"/>
              </w:rPr>
              <w:t xml:space="preserve">: </w:t>
            </w:r>
          </w:p>
          <w:p w14:paraId="18A0AE25" w14:textId="048BC10E" w:rsidR="009D29DB" w:rsidRPr="00D2522C" w:rsidRDefault="001743FF" w:rsidP="009D29DB">
            <w:pPr>
              <w:pStyle w:val="Odlomakpopisa"/>
              <w:numPr>
                <w:ilvl w:val="0"/>
                <w:numId w:val="12"/>
              </w:numPr>
              <w:ind w:left="761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Припрема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штампање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публикација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литературе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потребне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реализацију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пројекта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50%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); </w:t>
            </w:r>
          </w:p>
          <w:p w14:paraId="674588EC" w14:textId="269E6BEE" w:rsidR="009D29DB" w:rsidRPr="00D2522C" w:rsidRDefault="001743FF" w:rsidP="009D29DB">
            <w:pPr>
              <w:pStyle w:val="Odlomakpopisa"/>
              <w:numPr>
                <w:ilvl w:val="0"/>
                <w:numId w:val="12"/>
              </w:numPr>
              <w:ind w:left="761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Путни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трошкови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смјештај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20%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); </w:t>
            </w:r>
          </w:p>
          <w:p w14:paraId="71A2B603" w14:textId="14594434" w:rsidR="009D29DB" w:rsidRPr="00D2522C" w:rsidRDefault="001743FF" w:rsidP="009D29DB">
            <w:pPr>
              <w:pStyle w:val="Odlomakpopisa"/>
              <w:numPr>
                <w:ilvl w:val="0"/>
                <w:numId w:val="12"/>
              </w:numPr>
              <w:ind w:left="761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Остале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услуге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других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физичких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правних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лица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50%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); </w:t>
            </w:r>
          </w:p>
          <w:p w14:paraId="7B04B7E4" w14:textId="48221BA4" w:rsidR="00E31E1F" w:rsidRPr="00D2522C" w:rsidRDefault="001743FF" w:rsidP="009D29DB">
            <w:pPr>
              <w:pStyle w:val="Odlomakpopisa"/>
              <w:numPr>
                <w:ilvl w:val="0"/>
                <w:numId w:val="12"/>
              </w:numPr>
              <w:ind w:left="761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Набавка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потрошног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промотивног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материјала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реализацију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пројекта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15%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). </w:t>
            </w:r>
          </w:p>
          <w:p w14:paraId="571991FF" w14:textId="77777777" w:rsidR="00D2680F" w:rsidRPr="00D2522C" w:rsidRDefault="00D2680F" w:rsidP="00D2680F">
            <w:pPr>
              <w:pStyle w:val="Odlomakpopisa"/>
              <w:ind w:left="761"/>
              <w:jc w:val="both"/>
              <w:rPr>
                <w:lang w:val="hr-HR"/>
              </w:rPr>
            </w:pPr>
          </w:p>
          <w:p w14:paraId="2F5CC294" w14:textId="5A67E756" w:rsidR="00C353B4" w:rsidRPr="00D2522C" w:rsidRDefault="001743FF" w:rsidP="000B5891">
            <w:pPr>
              <w:pStyle w:val="Odlomakpopisa"/>
              <w:numPr>
                <w:ilvl w:val="0"/>
                <w:numId w:val="2"/>
              </w:numPr>
              <w:ind w:left="342"/>
              <w:rPr>
                <w:lang w:val="hr-HR"/>
              </w:rPr>
            </w:pPr>
            <w:proofErr w:type="spellStart"/>
            <w:r>
              <w:rPr>
                <w:b/>
                <w:lang w:val="hr-HR"/>
              </w:rPr>
              <w:t>Програм</w:t>
            </w:r>
            <w:proofErr w:type="spellEnd"/>
            <w:r w:rsidR="00C353B4" w:rsidRPr="00D2522C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б</w:t>
            </w:r>
            <w:r w:rsidR="00E31E1F" w:rsidRPr="00D2522C">
              <w:rPr>
                <w:b/>
                <w:lang w:val="hr-HR"/>
              </w:rPr>
              <w:t>)</w:t>
            </w:r>
            <w:r w:rsidR="00C353B4" w:rsidRPr="00D2522C">
              <w:rPr>
                <w:lang w:val="hr-HR"/>
              </w:rPr>
              <w:t xml:space="preserve">: </w:t>
            </w:r>
          </w:p>
          <w:p w14:paraId="4FF969FF" w14:textId="7BD603D3" w:rsidR="009D29DB" w:rsidRPr="00D2522C" w:rsidRDefault="001743FF" w:rsidP="009D29DB">
            <w:pPr>
              <w:pStyle w:val="Odlomakpopisa"/>
              <w:numPr>
                <w:ilvl w:val="0"/>
                <w:numId w:val="13"/>
              </w:num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Припрема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штампање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публикација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литературе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потребне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реализацију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пројекта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50%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); </w:t>
            </w:r>
          </w:p>
          <w:p w14:paraId="2E643BB2" w14:textId="1A4BC8E2" w:rsidR="009D29DB" w:rsidRPr="00D2522C" w:rsidRDefault="001743FF" w:rsidP="009D29DB">
            <w:pPr>
              <w:pStyle w:val="Odlomakpopisa"/>
              <w:numPr>
                <w:ilvl w:val="0"/>
                <w:numId w:val="13"/>
              </w:num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Путни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трошкови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смјештај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20%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 xml:space="preserve">); </w:t>
            </w:r>
          </w:p>
          <w:p w14:paraId="092CC649" w14:textId="1C06553E" w:rsidR="00E31E1F" w:rsidRPr="00D2522C" w:rsidRDefault="001743FF" w:rsidP="009D29DB">
            <w:pPr>
              <w:pStyle w:val="Odlomakpopisa"/>
              <w:numPr>
                <w:ilvl w:val="0"/>
                <w:numId w:val="13"/>
              </w:num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Остале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услуге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других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правних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физичких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лица</w:t>
            </w:r>
            <w:proofErr w:type="spellEnd"/>
            <w:r w:rsidR="009D29DB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9D29DB" w:rsidRPr="00D2522C">
              <w:rPr>
                <w:lang w:val="hr-HR"/>
              </w:rPr>
              <w:t xml:space="preserve"> 50%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укупног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тражи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9D29DB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9D29DB" w:rsidRPr="00D2522C">
              <w:rPr>
                <w:lang w:val="hr-HR"/>
              </w:rPr>
              <w:t>).</w:t>
            </w:r>
          </w:p>
          <w:p w14:paraId="47595CF6" w14:textId="77777777" w:rsidR="009D29DB" w:rsidRPr="00D2522C" w:rsidRDefault="009D29DB" w:rsidP="009D29DB">
            <w:pPr>
              <w:pStyle w:val="Odlomakpopisa"/>
              <w:jc w:val="both"/>
              <w:rPr>
                <w:lang w:val="hr-HR"/>
              </w:rPr>
            </w:pPr>
          </w:p>
          <w:p w14:paraId="7BCB4BD2" w14:textId="360EE52E" w:rsidR="008A43F2" w:rsidRPr="00D2522C" w:rsidRDefault="001743FF" w:rsidP="005F2104">
            <w:pPr>
              <w:pStyle w:val="Odlomakpopisa"/>
              <w:ind w:left="58"/>
              <w:jc w:val="both"/>
              <w:rPr>
                <w:u w:val="single"/>
                <w:lang w:val="hr-HR"/>
              </w:rPr>
            </w:pPr>
            <w:proofErr w:type="spellStart"/>
            <w:r>
              <w:rPr>
                <w:lang w:val="hr-HR"/>
              </w:rPr>
              <w:t>Предвиђени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прихватљиви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трошкови</w:t>
            </w:r>
            <w:proofErr w:type="spellEnd"/>
            <w:r w:rsidR="00CA00D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287DEA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појединачним</w:t>
            </w:r>
            <w:proofErr w:type="spellEnd"/>
            <w:r w:rsidR="00287DEA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програмима</w:t>
            </w:r>
            <w:proofErr w:type="spellEnd"/>
            <w:r w:rsidR="00287DEA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детаљно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разрађени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обрасцима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финансијског</w:t>
            </w:r>
            <w:proofErr w:type="spellEnd"/>
            <w:r w:rsidR="00490C62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плана</w:t>
            </w:r>
            <w:proofErr w:type="spellEnd"/>
            <w:r w:rsidR="00490C62" w:rsidRPr="00D2522C">
              <w:rPr>
                <w:lang w:val="hr-HR"/>
              </w:rPr>
              <w:t>.</w:t>
            </w:r>
          </w:p>
        </w:tc>
      </w:tr>
      <w:tr w:rsidR="008A43F2" w:rsidRPr="00D2522C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7</w:t>
            </w:r>
          </w:p>
        </w:tc>
        <w:tc>
          <w:tcPr>
            <w:tcW w:w="3202" w:type="dxa"/>
            <w:vAlign w:val="center"/>
          </w:tcPr>
          <w:p w14:paraId="3588B39E" w14:textId="2750F36B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Процент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износ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средстава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односи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финансирање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административних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трошкова</w:t>
            </w:r>
            <w:proofErr w:type="spellEnd"/>
          </w:p>
        </w:tc>
        <w:tc>
          <w:tcPr>
            <w:tcW w:w="6390" w:type="dxa"/>
            <w:vAlign w:val="center"/>
          </w:tcPr>
          <w:p w14:paraId="585F97C1" w14:textId="2C0889B9" w:rsidR="008A43F2" w:rsidRPr="00D2522C" w:rsidRDefault="001743FF" w:rsidP="005F2104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Максимално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6126FC" w:rsidRPr="00D2522C">
              <w:rPr>
                <w:lang w:val="hr-HR"/>
              </w:rPr>
              <w:t xml:space="preserve"> 1%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укупно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додијељеног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износа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поједини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Јавном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позиву</w:t>
            </w:r>
            <w:proofErr w:type="spellEnd"/>
            <w:r w:rsidR="006126FC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поштарина</w:t>
            </w:r>
            <w:proofErr w:type="spellEnd"/>
            <w:r w:rsidR="006126FC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банкарске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накнаде</w:t>
            </w:r>
            <w:proofErr w:type="spellEnd"/>
            <w:r w:rsidR="006126FC" w:rsidRPr="00D2522C">
              <w:rPr>
                <w:lang w:val="hr-HR"/>
              </w:rPr>
              <w:t>).</w:t>
            </w:r>
          </w:p>
        </w:tc>
      </w:tr>
      <w:tr w:rsidR="008A43F2" w:rsidRPr="00D2522C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8</w:t>
            </w:r>
          </w:p>
        </w:tc>
        <w:tc>
          <w:tcPr>
            <w:tcW w:w="3202" w:type="dxa"/>
            <w:vAlign w:val="center"/>
          </w:tcPr>
          <w:p w14:paraId="207CD15D" w14:textId="13E9E7E2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Неприхватљиви</w:t>
            </w:r>
            <w:proofErr w:type="spellEnd"/>
            <w:r w:rsidR="00AF1841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трошкови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могу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додијељеним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40123BAD" w14:textId="0EB117DB" w:rsidR="007F3B7A" w:rsidRPr="00D2522C" w:rsidRDefault="007F3B7A" w:rsidP="005F2104">
            <w:pPr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r w:rsidR="005F2104" w:rsidRPr="00D2522C">
              <w:rPr>
                <w:lang w:val="hr-HR"/>
              </w:rPr>
              <w:t xml:space="preserve">    </w:t>
            </w:r>
            <w:proofErr w:type="spellStart"/>
            <w:r w:rsidR="001743FF">
              <w:rPr>
                <w:lang w:val="hr-HR"/>
              </w:rPr>
              <w:t>Трошкови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који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нису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наведени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под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тачком</w:t>
            </w:r>
            <w:proofErr w:type="spellEnd"/>
            <w:r w:rsidRPr="00D2522C">
              <w:rPr>
                <w:lang w:val="hr-HR"/>
              </w:rPr>
              <w:t xml:space="preserve"> 6. </w:t>
            </w:r>
            <w:proofErr w:type="spellStart"/>
            <w:r w:rsidR="001743FF">
              <w:rPr>
                <w:lang w:val="hr-HR"/>
              </w:rPr>
              <w:t>овог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Упутства</w:t>
            </w:r>
            <w:proofErr w:type="spellEnd"/>
            <w:r w:rsidRPr="00D2522C">
              <w:rPr>
                <w:lang w:val="hr-HR"/>
              </w:rPr>
              <w:t>.</w:t>
            </w:r>
          </w:p>
          <w:p w14:paraId="6F78A0BE" w14:textId="040AB2A5" w:rsidR="008A43F2" w:rsidRPr="00D2522C" w:rsidRDefault="007F3B7A" w:rsidP="00F409EA">
            <w:pPr>
              <w:ind w:left="336" w:hanging="336"/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r w:rsidR="005F2104" w:rsidRPr="00D2522C">
              <w:rPr>
                <w:lang w:val="hr-HR"/>
              </w:rPr>
              <w:t xml:space="preserve">    </w:t>
            </w:r>
            <w:proofErr w:type="spellStart"/>
            <w:r w:rsidR="001743FF">
              <w:rPr>
                <w:lang w:val="hr-HR"/>
              </w:rPr>
              <w:t>Активности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које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нису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у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циљу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реализације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пројекта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које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нису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наведене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у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пројектном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плану</w:t>
            </w:r>
            <w:proofErr w:type="spellEnd"/>
            <w:r w:rsidR="005971C4" w:rsidRPr="00D2522C">
              <w:rPr>
                <w:lang w:val="hr-HR"/>
              </w:rPr>
              <w:t>.</w:t>
            </w:r>
          </w:p>
        </w:tc>
      </w:tr>
      <w:tr w:rsidR="008A43F2" w:rsidRPr="00D2522C" w14:paraId="6C265BF0" w14:textId="77777777" w:rsidTr="00AC4E85">
        <w:trPr>
          <w:trHeight w:val="708"/>
        </w:trPr>
        <w:tc>
          <w:tcPr>
            <w:tcW w:w="578" w:type="dxa"/>
            <w:vAlign w:val="center"/>
          </w:tcPr>
          <w:p w14:paraId="137F4894" w14:textId="6AEAA182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9</w:t>
            </w:r>
          </w:p>
        </w:tc>
        <w:tc>
          <w:tcPr>
            <w:tcW w:w="3202" w:type="dxa"/>
            <w:vAlign w:val="center"/>
          </w:tcPr>
          <w:p w14:paraId="24730A5D" w14:textId="2E163707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Правила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видљивости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(</w:t>
            </w:r>
            <w:proofErr w:type="spellStart"/>
            <w:r>
              <w:rPr>
                <w:b/>
                <w:bCs/>
                <w:lang w:val="hr-HR"/>
              </w:rPr>
              <w:t>промоција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резултата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) </w:t>
            </w:r>
            <w:proofErr w:type="spellStart"/>
            <w:r>
              <w:rPr>
                <w:b/>
                <w:bCs/>
                <w:lang w:val="hr-HR"/>
              </w:rPr>
              <w:t>која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требају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поштовати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у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lastRenderedPageBreak/>
              <w:t>провођењу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6704EAB2" w14:textId="1B27E301" w:rsidR="008E33AF" w:rsidRPr="00D2522C" w:rsidRDefault="001743FF" w:rsidP="009D29DB">
            <w:pPr>
              <w:pStyle w:val="Odlomakpopisa"/>
              <w:numPr>
                <w:ilvl w:val="0"/>
                <w:numId w:val="2"/>
              </w:numPr>
              <w:ind w:left="342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Министарство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r>
              <w:rPr>
                <w:lang w:val="hr-HR"/>
              </w:rPr>
              <w:t>у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зависности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величине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значаја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проводи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промовира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резултате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наглашавајући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постигнуте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резултате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промјене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резултат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провођења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8E33AF" w:rsidRPr="00D2522C">
              <w:rPr>
                <w:lang w:val="hr-HR"/>
              </w:rPr>
              <w:t xml:space="preserve">. </w:t>
            </w:r>
          </w:p>
          <w:p w14:paraId="42ACAB7F" w14:textId="4C89688D" w:rsidR="008E33AF" w:rsidRPr="00D2522C" w:rsidRDefault="001743FF" w:rsidP="009D29DB">
            <w:pPr>
              <w:pStyle w:val="Odlomakpopisa"/>
              <w:numPr>
                <w:ilvl w:val="0"/>
                <w:numId w:val="2"/>
              </w:numPr>
              <w:ind w:left="342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Корисници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имају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обавезу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објавити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информацију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финансирало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суфинансирало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осим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ако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одлучи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друкчије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  <w:p w14:paraId="00B9FCD1" w14:textId="7BD038ED" w:rsidR="008E33AF" w:rsidRPr="00D2522C" w:rsidRDefault="001743FF" w:rsidP="009D29DB">
            <w:pPr>
              <w:pStyle w:val="Odlomakpopisa"/>
              <w:numPr>
                <w:ilvl w:val="0"/>
                <w:numId w:val="2"/>
              </w:numPr>
              <w:ind w:left="342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Резултати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могу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објављивати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различите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начине</w:t>
            </w:r>
            <w:proofErr w:type="spellEnd"/>
            <w:r w:rsidR="008E33AF" w:rsidRPr="00D2522C">
              <w:rPr>
                <w:lang w:val="hr-HR"/>
              </w:rPr>
              <w:t xml:space="preserve">: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службеним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интернет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страницама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путем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медија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брошура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конференција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одређену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тему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публикација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везаних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уз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одређени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  <w:p w14:paraId="6C614F26" w14:textId="41725C0C" w:rsidR="008A43F2" w:rsidRPr="00D2522C" w:rsidRDefault="001743FF" w:rsidP="009D29DB">
            <w:pPr>
              <w:pStyle w:val="Odlomakpopisa"/>
              <w:numPr>
                <w:ilvl w:val="0"/>
                <w:numId w:val="2"/>
              </w:numPr>
              <w:ind w:left="342"/>
              <w:jc w:val="both"/>
              <w:rPr>
                <w:color w:val="FF0000"/>
                <w:lang w:val="hr-HR"/>
              </w:rPr>
            </w:pPr>
            <w:proofErr w:type="spellStart"/>
            <w:r>
              <w:rPr>
                <w:lang w:val="hr-HR"/>
              </w:rPr>
              <w:t>Сви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буду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одобрени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оквиру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овог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реализирани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децембру</w:t>
            </w:r>
            <w:proofErr w:type="spellEnd"/>
            <w:r w:rsidR="00161610" w:rsidRPr="00D2522C">
              <w:rPr>
                <w:lang w:val="hr-HR"/>
              </w:rPr>
              <w:t xml:space="preserve"> 202</w:t>
            </w:r>
            <w:r w:rsidR="00821984" w:rsidRPr="00D2522C">
              <w:rPr>
                <w:lang w:val="hr-HR"/>
              </w:rPr>
              <w:t>5</w:t>
            </w:r>
            <w:r w:rsidR="00161610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године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сматрат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ће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интегралним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дијелом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обиљежавања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овогодишњег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Дана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Федерацији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БиХ</w:t>
            </w:r>
            <w:proofErr w:type="spellEnd"/>
            <w:r w:rsidR="00161610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те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апликанти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којима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буду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додијељена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средства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обавезни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то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наведу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својим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промотивним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другим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пројектним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материјалима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намијењеним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јавности</w:t>
            </w:r>
            <w:proofErr w:type="spellEnd"/>
            <w:r w:rsidR="00161610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као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медијским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иступима</w:t>
            </w:r>
            <w:proofErr w:type="spellEnd"/>
            <w:r w:rsidR="00161610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те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томе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информишу</w:t>
            </w:r>
            <w:proofErr w:type="spellEnd"/>
            <w:r w:rsidR="00161610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Министарство</w:t>
            </w:r>
            <w:proofErr w:type="spellEnd"/>
            <w:r w:rsidR="00161610" w:rsidRPr="00D2522C">
              <w:rPr>
                <w:lang w:val="hr-HR"/>
              </w:rPr>
              <w:t>.</w:t>
            </w:r>
          </w:p>
        </w:tc>
      </w:tr>
      <w:tr w:rsidR="008A43F2" w:rsidRPr="00D2522C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44466B99" w:rsidR="008A43F2" w:rsidRPr="00D2522C" w:rsidRDefault="001743FF" w:rsidP="005971C4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административне</w:t>
            </w:r>
            <w:proofErr w:type="spellEnd"/>
            <w:r w:rsidR="005971C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провјере</w:t>
            </w:r>
            <w:proofErr w:type="spellEnd"/>
            <w:r w:rsidR="005971C4" w:rsidRPr="00D2522C">
              <w:rPr>
                <w:b/>
                <w:bCs/>
                <w:lang w:val="hr-HR"/>
              </w:rPr>
              <w:t xml:space="preserve"> (</w:t>
            </w:r>
            <w:proofErr w:type="spellStart"/>
            <w:r>
              <w:rPr>
                <w:b/>
                <w:bCs/>
                <w:lang w:val="hr-HR"/>
              </w:rPr>
              <w:t>селекције</w:t>
            </w:r>
            <w:proofErr w:type="spellEnd"/>
            <w:r w:rsidR="005971C4" w:rsidRPr="00D2522C">
              <w:rPr>
                <w:b/>
                <w:bCs/>
                <w:lang w:val="hr-HR"/>
              </w:rPr>
              <w:t xml:space="preserve">) </w:t>
            </w:r>
            <w:proofErr w:type="spellStart"/>
            <w:r>
              <w:rPr>
                <w:b/>
                <w:bCs/>
                <w:lang w:val="hr-HR"/>
              </w:rPr>
              <w:t>пријаве</w:t>
            </w:r>
            <w:proofErr w:type="spellEnd"/>
          </w:p>
        </w:tc>
        <w:tc>
          <w:tcPr>
            <w:tcW w:w="6390" w:type="dxa"/>
            <w:vAlign w:val="center"/>
          </w:tcPr>
          <w:p w14:paraId="460C3A35" w14:textId="3362753F" w:rsidR="005971C4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Комисија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селекцију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има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задатак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</w:t>
            </w:r>
            <w:proofErr w:type="spellEnd"/>
            <w:r w:rsidR="005971C4" w:rsidRPr="00D2522C">
              <w:rPr>
                <w:lang w:val="hr-HR"/>
              </w:rPr>
              <w:t>:</w:t>
            </w:r>
          </w:p>
          <w:p w14:paraId="5E21CE1B" w14:textId="21CBB17B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евидентира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запримљене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надлежног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сектора</w:t>
            </w:r>
            <w:proofErr w:type="spellEnd"/>
            <w:r w:rsidR="005971C4" w:rsidRPr="00D2522C">
              <w:rPr>
                <w:lang w:val="hr-HR"/>
              </w:rPr>
              <w:t>,</w:t>
            </w:r>
          </w:p>
          <w:p w14:paraId="51ECCD41" w14:textId="6268BB0C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утврди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благовременост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потпуност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запримљених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>,</w:t>
            </w:r>
          </w:p>
          <w:p w14:paraId="048B2297" w14:textId="5524C1B0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провјери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испуњеност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услова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прописаних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позивом</w:t>
            </w:r>
            <w:proofErr w:type="spellEnd"/>
            <w:r w:rsidR="005971C4" w:rsidRPr="00D2522C">
              <w:rPr>
                <w:lang w:val="hr-HR"/>
              </w:rPr>
              <w:t>,</w:t>
            </w:r>
          </w:p>
          <w:p w14:paraId="68BAA483" w14:textId="5C63A7FD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води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записник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своме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раду</w:t>
            </w:r>
            <w:proofErr w:type="spellEnd"/>
            <w:r w:rsidR="005971C4" w:rsidRPr="00D2522C">
              <w:rPr>
                <w:lang w:val="hr-HR"/>
              </w:rPr>
              <w:t>,</w:t>
            </w:r>
          </w:p>
          <w:p w14:paraId="5B46357E" w14:textId="0DD5A1D4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сачини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извјештај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селекцији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достави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надлежном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сектору</w:t>
            </w:r>
            <w:proofErr w:type="spellEnd"/>
            <w:r w:rsidR="005971C4" w:rsidRPr="00D2522C">
              <w:rPr>
                <w:lang w:val="hr-HR"/>
              </w:rPr>
              <w:t xml:space="preserve">. </w:t>
            </w:r>
          </w:p>
          <w:p w14:paraId="6BB325D9" w14:textId="4736F9E0" w:rsidR="006567C9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Извјештај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селекцији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мора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садржавати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списак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исправних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потпуних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одговарајућих</w:t>
            </w:r>
            <w:proofErr w:type="spellEnd"/>
            <w:r w:rsidR="005971C4" w:rsidRPr="00D2522C">
              <w:rPr>
                <w:lang w:val="hr-HR"/>
              </w:rPr>
              <w:t xml:space="preserve">)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неисправних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непотпуних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неодговарајућих</w:t>
            </w:r>
            <w:proofErr w:type="spellEnd"/>
            <w:r w:rsidR="005971C4" w:rsidRPr="00D2522C">
              <w:rPr>
                <w:lang w:val="hr-HR"/>
              </w:rPr>
              <w:t xml:space="preserve">)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. </w:t>
            </w:r>
          </w:p>
          <w:p w14:paraId="524D99BE" w14:textId="1D5FE46E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Надлежни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ће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након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што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заприми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извјештаје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5971C4" w:rsidRPr="00D2522C">
              <w:rPr>
                <w:lang w:val="hr-HR"/>
              </w:rPr>
              <w:t>w</w:t>
            </w:r>
            <w:r>
              <w:rPr>
                <w:lang w:val="hr-HR"/>
              </w:rPr>
              <w:t>еб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страници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5971C4" w:rsidRPr="00D2522C">
              <w:rPr>
                <w:lang w:val="hr-HR"/>
              </w:rPr>
              <w:t xml:space="preserve"> www.</w:t>
            </w:r>
            <w:r w:rsidR="008678C7">
              <w:rPr>
                <w:lang w:val="hr-HR"/>
              </w:rPr>
              <w:t>fmon</w:t>
            </w:r>
            <w:r w:rsidR="005971C4" w:rsidRPr="00D2522C">
              <w:rPr>
                <w:lang w:val="hr-HR"/>
              </w:rPr>
              <w:t>.</w:t>
            </w:r>
            <w:r w:rsidR="008678C7">
              <w:rPr>
                <w:lang w:val="hr-HR"/>
              </w:rPr>
              <w:t>gov</w:t>
            </w:r>
            <w:r w:rsidR="005971C4" w:rsidRPr="00D2522C">
              <w:rPr>
                <w:lang w:val="hr-HR"/>
              </w:rPr>
              <w:t>.</w:t>
            </w:r>
            <w:r w:rsidR="008678C7">
              <w:rPr>
                <w:lang w:val="hr-HR"/>
              </w:rPr>
              <w:t>ba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објавити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евиденције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исправних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потпуних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одговарајућих</w:t>
            </w:r>
            <w:proofErr w:type="spellEnd"/>
            <w:r w:rsidR="005971C4" w:rsidRPr="00D2522C">
              <w:rPr>
                <w:lang w:val="hr-HR"/>
              </w:rPr>
              <w:t xml:space="preserve">)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евиденције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неисправних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непотпуних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неодговарајућих</w:t>
            </w:r>
            <w:proofErr w:type="spellEnd"/>
            <w:r w:rsidR="005971C4" w:rsidRPr="00D2522C">
              <w:rPr>
                <w:lang w:val="hr-HR"/>
              </w:rPr>
              <w:t xml:space="preserve">)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. </w:t>
            </w:r>
          </w:p>
          <w:p w14:paraId="52143775" w14:textId="19B6C791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Уз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евиденције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неисправних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непотпуних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неодговарајућих</w:t>
            </w:r>
            <w:proofErr w:type="spellEnd"/>
            <w:r w:rsidR="005971C4" w:rsidRPr="00D2522C">
              <w:rPr>
                <w:lang w:val="hr-HR"/>
              </w:rPr>
              <w:t xml:space="preserve">)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надлежни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ће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навести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разлоге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због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неисправна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непотпуна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неодговарајућа</w:t>
            </w:r>
            <w:proofErr w:type="spellEnd"/>
            <w:r w:rsidR="005971C4" w:rsidRPr="00D2522C">
              <w:rPr>
                <w:lang w:val="hr-HR"/>
              </w:rPr>
              <w:t xml:space="preserve">), </w:t>
            </w:r>
            <w:proofErr w:type="spellStart"/>
            <w:r>
              <w:rPr>
                <w:lang w:val="hr-HR"/>
              </w:rPr>
              <w:t>те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начин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рокове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поступање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корисника</w:t>
            </w:r>
            <w:proofErr w:type="spellEnd"/>
            <w:r w:rsidR="005971C4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могућност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приговора</w:t>
            </w:r>
            <w:proofErr w:type="spellEnd"/>
            <w:r w:rsidR="005971C4" w:rsidRPr="00D2522C">
              <w:rPr>
                <w:lang w:val="hr-HR"/>
              </w:rPr>
              <w:t>).</w:t>
            </w:r>
          </w:p>
          <w:p w14:paraId="4045FC18" w14:textId="4759135D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Рокови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приговор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могу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бити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дужи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5971C4" w:rsidRPr="00D2522C">
              <w:rPr>
                <w:lang w:val="hr-HR"/>
              </w:rPr>
              <w:t xml:space="preserve"> 8 </w:t>
            </w:r>
            <w:proofErr w:type="spellStart"/>
            <w:r>
              <w:rPr>
                <w:lang w:val="hr-HR"/>
              </w:rPr>
              <w:t>дана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објаве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евиденције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 w:rsidR="005971C4" w:rsidRPr="00D2522C">
              <w:rPr>
                <w:lang w:val="hr-HR"/>
              </w:rPr>
              <w:t>w</w:t>
            </w:r>
            <w:r>
              <w:rPr>
                <w:lang w:val="hr-HR"/>
              </w:rPr>
              <w:t>еб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страници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дужину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одређује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надлежни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</w:t>
            </w:r>
            <w:proofErr w:type="spellEnd"/>
            <w:r w:rsidR="005971C4" w:rsidRPr="00D2522C">
              <w:rPr>
                <w:lang w:val="hr-HR"/>
              </w:rPr>
              <w:t>.</w:t>
            </w:r>
          </w:p>
          <w:p w14:paraId="77BF054D" w14:textId="5EC1F13C" w:rsidR="005971C4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r>
              <w:rPr>
                <w:lang w:val="hr-HR"/>
              </w:rPr>
              <w:t>У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случају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подноситељ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обавијештен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могућности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изврши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остављеном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изврши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неодговарајућу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према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оцјени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Комисије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селекцију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неће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имати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могућност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накнадне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нити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приговора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односно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неће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моћи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даље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судјеловати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процедури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додјеле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позиву</w:t>
            </w:r>
            <w:proofErr w:type="spellEnd"/>
            <w:r w:rsidR="005971C4" w:rsidRPr="00D2522C">
              <w:rPr>
                <w:lang w:val="hr-HR"/>
              </w:rPr>
              <w:t>.</w:t>
            </w:r>
          </w:p>
          <w:p w14:paraId="226F63F1" w14:textId="3D25108D" w:rsidR="008E33AF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Апликанти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чије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неисправне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којима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није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остављена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могућност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допуне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могу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изјавити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приговор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  <w:p w14:paraId="0269D1FC" w14:textId="5092F67C" w:rsidR="008E33AF" w:rsidRPr="00D2522C" w:rsidRDefault="001743FF" w:rsidP="009D29DB">
            <w:pPr>
              <w:pStyle w:val="Odlomakpopisa"/>
              <w:numPr>
                <w:ilvl w:val="0"/>
                <w:numId w:val="5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Надлежни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доставља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Комисији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оцјењивање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искључиво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исправне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потпуне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позиву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</w:tc>
      </w:tr>
      <w:tr w:rsidR="008A43F2" w:rsidRPr="00D2522C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lastRenderedPageBreak/>
              <w:t>11</w:t>
            </w:r>
          </w:p>
        </w:tc>
        <w:tc>
          <w:tcPr>
            <w:tcW w:w="3202" w:type="dxa"/>
            <w:vAlign w:val="center"/>
          </w:tcPr>
          <w:p w14:paraId="43D9EF71" w14:textId="70DFF2E5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одабира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пројеката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који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ће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бити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финансирани</w:t>
            </w:r>
            <w:proofErr w:type="spellEnd"/>
          </w:p>
        </w:tc>
        <w:tc>
          <w:tcPr>
            <w:tcW w:w="6390" w:type="dxa"/>
            <w:vAlign w:val="center"/>
          </w:tcPr>
          <w:p w14:paraId="1E538797" w14:textId="24A05F19" w:rsidR="008A43F2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Оцјењивање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пристиглих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путем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јавног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врши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Комисија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оцјењивање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критеријима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утврђеним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Одлуком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усвајању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програма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утрошка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с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критеријима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расподјеле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текућих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трансфера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утврђених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Буџетом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Федерације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Босне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Херцеговине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Федералном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образовања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  <w:p w14:paraId="77A5E556" w14:textId="7F63C1EA" w:rsidR="008E33AF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Комисија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оцјењивање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задатак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</w:t>
            </w:r>
            <w:proofErr w:type="spellEnd"/>
            <w:r w:rsidR="008E33AF" w:rsidRPr="00D2522C">
              <w:rPr>
                <w:lang w:val="hr-HR"/>
              </w:rPr>
              <w:t>:</w:t>
            </w:r>
          </w:p>
          <w:p w14:paraId="325C0F20" w14:textId="05A1A0E7" w:rsidR="008E33AF" w:rsidRPr="00D2522C" w:rsidRDefault="001743FF" w:rsidP="009D29DB">
            <w:pPr>
              <w:pStyle w:val="Odlomakpopisa"/>
              <w:numPr>
                <w:ilvl w:val="0"/>
                <w:numId w:val="6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преузме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надлежног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формално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исправне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позиву</w:t>
            </w:r>
            <w:proofErr w:type="spellEnd"/>
            <w:r w:rsidR="008E33AF" w:rsidRPr="00D2522C">
              <w:rPr>
                <w:lang w:val="hr-HR"/>
              </w:rPr>
              <w:t>,</w:t>
            </w:r>
          </w:p>
          <w:p w14:paraId="10BD1445" w14:textId="4928509F" w:rsidR="008E33AF" w:rsidRPr="00D2522C" w:rsidRDefault="001743FF" w:rsidP="009D29DB">
            <w:pPr>
              <w:pStyle w:val="Odlomakpopisa"/>
              <w:numPr>
                <w:ilvl w:val="0"/>
                <w:numId w:val="6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оцијени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преузете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критеријима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утврђеним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позивом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</w:p>
          <w:p w14:paraId="40BF6625" w14:textId="3CBC6808" w:rsidR="008E33AF" w:rsidRPr="00D2522C" w:rsidRDefault="001743FF" w:rsidP="009D29DB">
            <w:pPr>
              <w:pStyle w:val="Odlomakpopisa"/>
              <w:numPr>
                <w:ilvl w:val="0"/>
                <w:numId w:val="6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води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записник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раду</w:t>
            </w:r>
            <w:proofErr w:type="spellEnd"/>
            <w:r w:rsidR="008E33AF" w:rsidRPr="00D2522C">
              <w:rPr>
                <w:lang w:val="hr-HR"/>
              </w:rPr>
              <w:t>,</w:t>
            </w:r>
          </w:p>
          <w:p w14:paraId="405421E5" w14:textId="6F900182" w:rsidR="008E33AF" w:rsidRPr="00D2522C" w:rsidRDefault="001743FF" w:rsidP="009D29DB">
            <w:pPr>
              <w:pStyle w:val="Odlomakpopisa"/>
              <w:numPr>
                <w:ilvl w:val="0"/>
                <w:numId w:val="6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сачини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извјештај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збирном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ранг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листом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оцјењених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достави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надлежном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сектору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  <w:p w14:paraId="1AC3A615" w14:textId="74D56339" w:rsidR="008E33AF" w:rsidRPr="00D2522C" w:rsidRDefault="001743FF" w:rsidP="009D29DB">
            <w:pPr>
              <w:pStyle w:val="Odlomakpopisa"/>
              <w:numPr>
                <w:ilvl w:val="0"/>
                <w:numId w:val="6"/>
              </w:numPr>
              <w:ind w:left="484"/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Надлежни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сектор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након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разматрања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листе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оцијењених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пријава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сваки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даје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приједлог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расподјелу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буџетских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министрици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усвајању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приједлога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припрема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збирну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одлуку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додјели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>.</w:t>
            </w:r>
          </w:p>
        </w:tc>
      </w:tr>
      <w:tr w:rsidR="008A43F2" w:rsidRPr="00D2522C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12</w:t>
            </w:r>
          </w:p>
        </w:tc>
        <w:tc>
          <w:tcPr>
            <w:tcW w:w="3202" w:type="dxa"/>
            <w:vAlign w:val="center"/>
          </w:tcPr>
          <w:p w14:paraId="01B1BA07" w14:textId="58F859B4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Разлози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рокови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подношења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рјешавања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приговора</w:t>
            </w:r>
            <w:proofErr w:type="spellEnd"/>
          </w:p>
        </w:tc>
        <w:tc>
          <w:tcPr>
            <w:tcW w:w="6390" w:type="dxa"/>
            <w:vAlign w:val="center"/>
          </w:tcPr>
          <w:p w14:paraId="2B8313D5" w14:textId="075A8645" w:rsidR="008A43F2" w:rsidRPr="00D2522C" w:rsidRDefault="005F2104" w:rsidP="005F2104">
            <w:pPr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proofErr w:type="spellStart"/>
            <w:r w:rsidR="001743FF">
              <w:rPr>
                <w:lang w:val="hr-HR"/>
              </w:rPr>
              <w:t>Приговори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r w:rsidR="008678C7">
              <w:rPr>
                <w:lang w:val="hr-HR"/>
              </w:rPr>
              <w:t>I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фазу</w:t>
            </w:r>
            <w:proofErr w:type="spellEnd"/>
            <w:r w:rsidR="009B6EE9" w:rsidRPr="00D2522C">
              <w:rPr>
                <w:lang w:val="hr-HR"/>
              </w:rPr>
              <w:t xml:space="preserve"> (</w:t>
            </w:r>
            <w:proofErr w:type="spellStart"/>
            <w:r w:rsidR="001743FF">
              <w:rPr>
                <w:lang w:val="hr-HR"/>
              </w:rPr>
              <w:t>селекција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пријава</w:t>
            </w:r>
            <w:proofErr w:type="spellEnd"/>
            <w:r w:rsidR="009B6EE9" w:rsidRPr="00D2522C">
              <w:rPr>
                <w:lang w:val="hr-HR"/>
              </w:rPr>
              <w:t xml:space="preserve">) </w:t>
            </w:r>
            <w:proofErr w:type="spellStart"/>
            <w:r w:rsidR="001743FF">
              <w:rPr>
                <w:lang w:val="hr-HR"/>
              </w:rPr>
              <w:t>се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могу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уложити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у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року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од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осам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дана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од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дана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објаве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w</w:t>
            </w:r>
            <w:r w:rsidR="00AF0410">
              <w:rPr>
                <w:lang w:val="hr-HR"/>
              </w:rPr>
              <w:t>eb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страници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Министарства</w:t>
            </w:r>
            <w:proofErr w:type="spellEnd"/>
            <w:r w:rsidR="009B6EE9" w:rsidRPr="00D2522C">
              <w:rPr>
                <w:lang w:val="hr-HR"/>
              </w:rPr>
              <w:t>.</w:t>
            </w:r>
          </w:p>
          <w:p w14:paraId="3393C6AD" w14:textId="475205E4" w:rsidR="009B6EE9" w:rsidRPr="00D2522C" w:rsidRDefault="005F2104" w:rsidP="009D29DB">
            <w:pPr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proofErr w:type="spellStart"/>
            <w:r w:rsidR="001743FF">
              <w:rPr>
                <w:lang w:val="hr-HR"/>
              </w:rPr>
              <w:t>Приговори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r w:rsidR="008678C7">
              <w:rPr>
                <w:lang w:val="hr-HR"/>
              </w:rPr>
              <w:t>II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фазу</w:t>
            </w:r>
            <w:proofErr w:type="spellEnd"/>
            <w:r w:rsidR="009B6EE9" w:rsidRPr="00D2522C">
              <w:rPr>
                <w:lang w:val="hr-HR"/>
              </w:rPr>
              <w:t xml:space="preserve"> (</w:t>
            </w:r>
            <w:proofErr w:type="spellStart"/>
            <w:r w:rsidR="001743FF">
              <w:rPr>
                <w:lang w:val="hr-HR"/>
              </w:rPr>
              <w:t>резултати</w:t>
            </w:r>
            <w:proofErr w:type="spellEnd"/>
            <w:r w:rsidR="009B6EE9" w:rsidRPr="00D2522C">
              <w:rPr>
                <w:lang w:val="hr-HR"/>
              </w:rPr>
              <w:t xml:space="preserve">) </w:t>
            </w:r>
            <w:proofErr w:type="spellStart"/>
            <w:r w:rsidR="001743FF">
              <w:rPr>
                <w:lang w:val="hr-HR"/>
              </w:rPr>
              <w:t>се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могу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уложити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у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року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од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петнаест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дана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од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дана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објаве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w</w:t>
            </w:r>
            <w:r w:rsidR="008678C7">
              <w:rPr>
                <w:lang w:val="hr-HR"/>
              </w:rPr>
              <w:t>eb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страници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Министарства</w:t>
            </w:r>
            <w:proofErr w:type="spellEnd"/>
            <w:r w:rsidR="009B6EE9" w:rsidRPr="00D2522C">
              <w:rPr>
                <w:lang w:val="hr-HR"/>
              </w:rPr>
              <w:t>.</w:t>
            </w:r>
          </w:p>
          <w:p w14:paraId="1A3A425D" w14:textId="097BD2DC" w:rsidR="009B6EE9" w:rsidRPr="00D2522C" w:rsidRDefault="005F2104" w:rsidP="009D29DB">
            <w:pPr>
              <w:jc w:val="both"/>
              <w:rPr>
                <w:color w:val="FF0000"/>
                <w:lang w:val="hr-HR"/>
              </w:rPr>
            </w:pPr>
            <w:r w:rsidRPr="00D2522C">
              <w:rPr>
                <w:lang w:val="hr-HR"/>
              </w:rPr>
              <w:t xml:space="preserve">- </w:t>
            </w:r>
            <w:proofErr w:type="spellStart"/>
            <w:r w:rsidR="001743FF">
              <w:rPr>
                <w:lang w:val="hr-HR"/>
              </w:rPr>
              <w:t>Приговори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се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подносе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писмено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адресу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Федералног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министарства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образовања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науке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начин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описан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под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тачком</w:t>
            </w:r>
            <w:proofErr w:type="spellEnd"/>
            <w:r w:rsidR="009B6EE9" w:rsidRPr="00D2522C">
              <w:rPr>
                <w:lang w:val="hr-HR"/>
              </w:rPr>
              <w:t xml:space="preserve"> 16. </w:t>
            </w:r>
            <w:proofErr w:type="spellStart"/>
            <w:r w:rsidR="001743FF">
              <w:rPr>
                <w:lang w:val="hr-HR"/>
              </w:rPr>
              <w:t>овог</w:t>
            </w:r>
            <w:proofErr w:type="spellEnd"/>
            <w:r w:rsidR="009B6EE9"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Упутства</w:t>
            </w:r>
            <w:proofErr w:type="spellEnd"/>
            <w:r w:rsidR="009B6EE9" w:rsidRPr="00D2522C">
              <w:rPr>
                <w:lang w:val="hr-HR"/>
              </w:rPr>
              <w:t>.</w:t>
            </w:r>
          </w:p>
        </w:tc>
      </w:tr>
      <w:tr w:rsidR="008A43F2" w:rsidRPr="00D2522C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13</w:t>
            </w:r>
          </w:p>
        </w:tc>
        <w:tc>
          <w:tcPr>
            <w:tcW w:w="3202" w:type="dxa"/>
            <w:vAlign w:val="center"/>
          </w:tcPr>
          <w:p w14:paraId="11327019" w14:textId="093C40ED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уговарања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одабраних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57031E70" w14:textId="343A1638" w:rsidR="008A43F2" w:rsidRPr="00D2522C" w:rsidRDefault="001743FF" w:rsidP="009D29DB">
            <w:pPr>
              <w:jc w:val="both"/>
              <w:rPr>
                <w:color w:val="FF0000"/>
                <w:lang w:val="hr-HR"/>
              </w:rPr>
            </w:pPr>
            <w:proofErr w:type="spellStart"/>
            <w:r>
              <w:rPr>
                <w:lang w:val="hr-HR"/>
              </w:rPr>
              <w:t>Федерална</w:t>
            </w:r>
            <w:proofErr w:type="spellEnd"/>
            <w:r w:rsidR="006126FC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министрица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образовања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доноси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збирну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одлуку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додјели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буџетских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потписује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посебне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уговоре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реализацији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додијељених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E33AF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којим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8E33A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регулишу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начини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рокови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утрошка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1534F8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534F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извјештавање</w:t>
            </w:r>
            <w:proofErr w:type="spellEnd"/>
            <w:r w:rsidR="001534F8" w:rsidRPr="00D2522C">
              <w:rPr>
                <w:lang w:val="hr-HR"/>
              </w:rPr>
              <w:t>.</w:t>
            </w:r>
          </w:p>
        </w:tc>
      </w:tr>
      <w:tr w:rsidR="008A43F2" w:rsidRPr="00D2522C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14</w:t>
            </w:r>
          </w:p>
        </w:tc>
        <w:tc>
          <w:tcPr>
            <w:tcW w:w="3202" w:type="dxa"/>
            <w:vAlign w:val="center"/>
          </w:tcPr>
          <w:p w14:paraId="019CC927" w14:textId="1A951B8C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Опис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поступка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праћења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провођења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76DD9789" w14:textId="0F7E8E78" w:rsidR="008A43F2" w:rsidRPr="00D2522C" w:rsidRDefault="001743FF" w:rsidP="009D29DB">
            <w:pPr>
              <w:jc w:val="both"/>
              <w:rPr>
                <w:color w:val="FF0000"/>
                <w:lang w:val="hr-HR"/>
              </w:rPr>
            </w:pPr>
            <w:r>
              <w:rPr>
                <w:lang w:val="hr-HR"/>
              </w:rPr>
              <w:t>У</w:t>
            </w:r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складу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уговором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реализацији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пројекта</w:t>
            </w:r>
            <w:proofErr w:type="spellEnd"/>
            <w:r w:rsidR="00827553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корисник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је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обавезан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доставити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извјештај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доказима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намјенском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утрошку</w:t>
            </w:r>
            <w:proofErr w:type="spellEnd"/>
            <w:r w:rsidR="00827553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F4163F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Уколико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Корисник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не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достави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извјештај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намјенском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утрошку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додијељених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F4163F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предвиђеном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року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Министарство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шаље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Опомену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инструкцијом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поврату</w:t>
            </w:r>
            <w:proofErr w:type="spellEnd"/>
            <w:r w:rsidR="008000F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средстава</w:t>
            </w:r>
            <w:proofErr w:type="spellEnd"/>
            <w:r w:rsidR="008000F4" w:rsidRPr="00D2522C">
              <w:rPr>
                <w:lang w:val="hr-HR"/>
              </w:rPr>
              <w:t xml:space="preserve">. </w:t>
            </w:r>
          </w:p>
        </w:tc>
      </w:tr>
      <w:tr w:rsidR="008A43F2" w:rsidRPr="00D2522C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15</w:t>
            </w:r>
          </w:p>
        </w:tc>
        <w:tc>
          <w:tcPr>
            <w:tcW w:w="3202" w:type="dxa"/>
            <w:vAlign w:val="center"/>
          </w:tcPr>
          <w:p w14:paraId="67B2E184" w14:textId="071197A0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Оквирни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календар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провођења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свих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поступака</w:t>
            </w:r>
            <w:proofErr w:type="spellEnd"/>
          </w:p>
        </w:tc>
        <w:tc>
          <w:tcPr>
            <w:tcW w:w="6390" w:type="dxa"/>
            <w:vAlign w:val="center"/>
          </w:tcPr>
          <w:p w14:paraId="54826B61" w14:textId="4AFBF012" w:rsidR="008A43F2" w:rsidRPr="00D2522C" w:rsidRDefault="001743FF" w:rsidP="008D6338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Јуни</w:t>
            </w:r>
            <w:r w:rsidR="005971C4" w:rsidRPr="00D2522C">
              <w:rPr>
                <w:lang w:val="hr-HR"/>
              </w:rPr>
              <w:t>-</w:t>
            </w:r>
            <w:r>
              <w:rPr>
                <w:lang w:val="hr-HR"/>
              </w:rPr>
              <w:t>Децембар</w:t>
            </w:r>
            <w:proofErr w:type="spellEnd"/>
            <w:r w:rsidR="00257D6E" w:rsidRPr="00D2522C">
              <w:rPr>
                <w:lang w:val="hr-HR"/>
              </w:rPr>
              <w:t xml:space="preserve"> </w:t>
            </w:r>
            <w:r w:rsidR="00A22490" w:rsidRPr="00D2522C">
              <w:rPr>
                <w:lang w:val="hr-HR"/>
              </w:rPr>
              <w:t>202</w:t>
            </w:r>
            <w:r w:rsidR="008D6338" w:rsidRPr="00D2522C">
              <w:rPr>
                <w:lang w:val="hr-HR"/>
              </w:rPr>
              <w:t>5</w:t>
            </w:r>
            <w:r w:rsidR="00A22490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године</w:t>
            </w:r>
            <w:proofErr w:type="spellEnd"/>
          </w:p>
        </w:tc>
      </w:tr>
      <w:tr w:rsidR="008A43F2" w:rsidRPr="00D2522C" w14:paraId="22A85405" w14:textId="77777777" w:rsidTr="005F2104">
        <w:trPr>
          <w:trHeight w:val="553"/>
        </w:trPr>
        <w:tc>
          <w:tcPr>
            <w:tcW w:w="578" w:type="dxa"/>
            <w:vAlign w:val="center"/>
          </w:tcPr>
          <w:p w14:paraId="7ED756E3" w14:textId="77315E61" w:rsidR="008A43F2" w:rsidRPr="00D2522C" w:rsidRDefault="00122D47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t>16</w:t>
            </w:r>
          </w:p>
        </w:tc>
        <w:tc>
          <w:tcPr>
            <w:tcW w:w="3202" w:type="dxa"/>
            <w:vAlign w:val="center"/>
          </w:tcPr>
          <w:p w14:paraId="3354B56C" w14:textId="1170720A" w:rsidR="008A43F2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Датум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објаве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позива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рок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подношење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адреса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доставе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пројекта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, </w:t>
            </w:r>
            <w:proofErr w:type="spellStart"/>
            <w:r>
              <w:rPr>
                <w:b/>
                <w:bCs/>
                <w:lang w:val="hr-HR"/>
              </w:rPr>
              <w:t>те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рокови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начин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комуникације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даваоцем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lastRenderedPageBreak/>
              <w:t>буџетских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средстава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током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трајања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јавног</w:t>
            </w:r>
            <w:proofErr w:type="spellEnd"/>
            <w:r w:rsidR="008A43F2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7260ADCB" w14:textId="60ECF018" w:rsidR="008A43F2" w:rsidRPr="00D2522C" w:rsidRDefault="001743FF" w:rsidP="009D29DB">
            <w:pPr>
              <w:jc w:val="both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lastRenderedPageBreak/>
              <w:t>Датум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објаве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Јавног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позива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: </w:t>
            </w:r>
            <w:r w:rsidR="005F2104" w:rsidRPr="00D2522C">
              <w:rPr>
                <w:b/>
                <w:bCs/>
                <w:lang w:val="hr-HR"/>
              </w:rPr>
              <w:t>26</w:t>
            </w:r>
            <w:r w:rsidR="005971C4" w:rsidRPr="00D2522C">
              <w:rPr>
                <w:b/>
                <w:bCs/>
                <w:lang w:val="hr-HR"/>
              </w:rPr>
              <w:t>.05</w:t>
            </w:r>
            <w:r w:rsidR="008D6338" w:rsidRPr="00D2522C">
              <w:rPr>
                <w:b/>
                <w:bCs/>
                <w:lang w:val="hr-HR"/>
              </w:rPr>
              <w:t>.2025</w:t>
            </w:r>
            <w:r w:rsidR="003D5024" w:rsidRPr="00D2522C">
              <w:rPr>
                <w:b/>
                <w:bCs/>
                <w:lang w:val="hr-HR"/>
              </w:rPr>
              <w:t xml:space="preserve">. </w:t>
            </w:r>
            <w:proofErr w:type="spellStart"/>
            <w:r>
              <w:rPr>
                <w:b/>
                <w:bCs/>
                <w:lang w:val="hr-HR"/>
              </w:rPr>
              <w:t>године</w:t>
            </w:r>
            <w:proofErr w:type="spellEnd"/>
          </w:p>
          <w:p w14:paraId="45819F89" w14:textId="77777777" w:rsidR="003D5024" w:rsidRPr="00D2522C" w:rsidRDefault="003D5024" w:rsidP="009D29DB">
            <w:pPr>
              <w:jc w:val="both"/>
              <w:rPr>
                <w:b/>
                <w:bCs/>
                <w:lang w:val="hr-HR"/>
              </w:rPr>
            </w:pPr>
          </w:p>
          <w:p w14:paraId="6246BF86" w14:textId="4CEBDC1B" w:rsidR="003D5024" w:rsidRPr="00D2522C" w:rsidRDefault="001743FF" w:rsidP="009D29DB">
            <w:pPr>
              <w:jc w:val="both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Рок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за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подношење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пријава</w:t>
            </w:r>
            <w:proofErr w:type="spellEnd"/>
            <w:r w:rsidR="003D5024" w:rsidRPr="00D2522C">
              <w:rPr>
                <w:b/>
                <w:bCs/>
                <w:lang w:val="hr-HR"/>
              </w:rPr>
              <w:t xml:space="preserve">: </w:t>
            </w:r>
            <w:r w:rsidR="005F2104" w:rsidRPr="00D2522C">
              <w:rPr>
                <w:b/>
                <w:bCs/>
                <w:lang w:val="hr-HR"/>
              </w:rPr>
              <w:t>16</w:t>
            </w:r>
            <w:r w:rsidR="005971C4" w:rsidRPr="00D2522C">
              <w:rPr>
                <w:rFonts w:cstheme="minorHAnsi"/>
                <w:b/>
                <w:lang w:val="hr-HR"/>
              </w:rPr>
              <w:t>.06</w:t>
            </w:r>
            <w:r w:rsidR="008D6338" w:rsidRPr="00D2522C">
              <w:rPr>
                <w:rFonts w:cstheme="minorHAnsi"/>
                <w:b/>
                <w:lang w:val="hr-HR"/>
              </w:rPr>
              <w:t>.2025</w:t>
            </w:r>
            <w:r w:rsidR="00E66AFB" w:rsidRPr="00D2522C">
              <w:rPr>
                <w:rFonts w:cstheme="minorHAnsi"/>
                <w:b/>
                <w:lang w:val="hr-HR"/>
              </w:rPr>
              <w:t xml:space="preserve">. </w:t>
            </w:r>
            <w:proofErr w:type="spellStart"/>
            <w:r>
              <w:rPr>
                <w:rFonts w:cstheme="minorHAnsi"/>
                <w:b/>
                <w:lang w:val="hr-HR"/>
              </w:rPr>
              <w:t>године</w:t>
            </w:r>
            <w:proofErr w:type="spellEnd"/>
          </w:p>
          <w:p w14:paraId="4E46C3B3" w14:textId="77777777" w:rsidR="003D5024" w:rsidRPr="00D2522C" w:rsidRDefault="003D5024" w:rsidP="009D29DB">
            <w:pPr>
              <w:jc w:val="both"/>
              <w:rPr>
                <w:lang w:val="hr-HR"/>
              </w:rPr>
            </w:pPr>
          </w:p>
          <w:p w14:paraId="527AAC44" w14:textId="19495361" w:rsidR="008D6338" w:rsidRPr="00D2522C" w:rsidRDefault="001743FF" w:rsidP="009D29DB">
            <w:pPr>
              <w:jc w:val="both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Начин</w:t>
            </w:r>
            <w:proofErr w:type="spellEnd"/>
            <w:r w:rsidR="008D6338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доставе</w:t>
            </w:r>
            <w:proofErr w:type="spellEnd"/>
            <w:r w:rsidR="008D6338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пријаве</w:t>
            </w:r>
            <w:proofErr w:type="spellEnd"/>
            <w:r w:rsidR="008D6338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програма</w:t>
            </w:r>
            <w:proofErr w:type="spellEnd"/>
            <w:r w:rsidR="008D6338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или</w:t>
            </w:r>
            <w:proofErr w:type="spellEnd"/>
            <w:r w:rsidR="008D6338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пројекта</w:t>
            </w:r>
            <w:proofErr w:type="spellEnd"/>
            <w:r w:rsidR="008D6338" w:rsidRPr="00D2522C">
              <w:rPr>
                <w:b/>
                <w:bCs/>
                <w:lang w:val="hr-HR"/>
              </w:rPr>
              <w:t>:</w:t>
            </w:r>
          </w:p>
          <w:p w14:paraId="472F9B13" w14:textId="3FDABB2B" w:rsidR="008D6338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Апликаци</w:t>
            </w:r>
            <w:proofErr w:type="spellEnd"/>
            <w:r w:rsidR="008678C7">
              <w:rPr>
                <w:lang w:val="sr-Cyrl-BA"/>
              </w:rPr>
              <w:t>они</w:t>
            </w:r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образац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са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прилозима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обавезно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подноси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протокол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25039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или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путем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поште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адресу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8D6338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Обавезно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коверти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навести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податке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пошиљаоца</w:t>
            </w:r>
            <w:proofErr w:type="spellEnd"/>
            <w:r w:rsidR="008D6338" w:rsidRPr="00D2522C">
              <w:rPr>
                <w:lang w:val="hr-HR"/>
              </w:rPr>
              <w:t>.</w:t>
            </w:r>
          </w:p>
          <w:p w14:paraId="4B764BDF" w14:textId="77777777" w:rsidR="008D6338" w:rsidRPr="00D2522C" w:rsidRDefault="008D6338" w:rsidP="009D29DB">
            <w:pPr>
              <w:jc w:val="both"/>
              <w:rPr>
                <w:b/>
                <w:bCs/>
                <w:lang w:val="hr-HR"/>
              </w:rPr>
            </w:pPr>
          </w:p>
          <w:p w14:paraId="596E44C1" w14:textId="457E22A7" w:rsidR="0025039F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Адреса</w:t>
            </w:r>
            <w:proofErr w:type="spellEnd"/>
            <w:r w:rsidR="003D5024" w:rsidRPr="00D2522C">
              <w:rPr>
                <w:b/>
                <w:bCs/>
                <w:lang w:val="hr-HR"/>
              </w:rPr>
              <w:t>:</w:t>
            </w:r>
            <w:r w:rsidR="003D5024" w:rsidRPr="00D2522C">
              <w:rPr>
                <w:lang w:val="hr-HR"/>
              </w:rPr>
              <w:t xml:space="preserve"> </w:t>
            </w:r>
          </w:p>
          <w:p w14:paraId="573314C3" w14:textId="5A13EA88" w:rsidR="0025039F" w:rsidRPr="00D2522C" w:rsidRDefault="001743FF" w:rsidP="009D29D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ФЕДЕРАЛНО</w:t>
            </w:r>
            <w:r w:rsidR="003D502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М</w:t>
            </w:r>
            <w:r w:rsidR="008678C7">
              <w:rPr>
                <w:lang w:val="hr-HR"/>
              </w:rPr>
              <w:t>I</w:t>
            </w:r>
            <w:r>
              <w:rPr>
                <w:lang w:val="hr-HR"/>
              </w:rPr>
              <w:t>Н</w:t>
            </w:r>
            <w:r w:rsidR="008678C7">
              <w:rPr>
                <w:lang w:val="hr-HR"/>
              </w:rPr>
              <w:t>I</w:t>
            </w:r>
            <w:r>
              <w:rPr>
                <w:lang w:val="hr-HR"/>
              </w:rPr>
              <w:t>СТАРСТВО</w:t>
            </w:r>
            <w:r w:rsidR="003D502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ОБРАЗОВАЊА</w:t>
            </w:r>
            <w:r w:rsidR="003D5024" w:rsidRPr="00D2522C">
              <w:rPr>
                <w:lang w:val="hr-HR"/>
              </w:rPr>
              <w:t xml:space="preserve"> </w:t>
            </w:r>
            <w:r w:rsidR="008678C7">
              <w:rPr>
                <w:lang w:val="hr-HR"/>
              </w:rPr>
              <w:t>I</w:t>
            </w:r>
            <w:r w:rsidR="003D502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НАУКЕ</w:t>
            </w:r>
          </w:p>
          <w:p w14:paraId="2D2DB2CC" w14:textId="68E2543F" w:rsidR="0025039F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Др</w:t>
            </w:r>
            <w:proofErr w:type="spellEnd"/>
            <w:r w:rsidR="003D5024" w:rsidRPr="00D2522C"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Анте</w:t>
            </w:r>
            <w:proofErr w:type="spellEnd"/>
            <w:r w:rsidR="0025039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Старчевића</w:t>
            </w:r>
            <w:proofErr w:type="spellEnd"/>
            <w:r w:rsidR="0025039F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бб</w:t>
            </w:r>
            <w:proofErr w:type="spellEnd"/>
            <w:r w:rsidR="0025039F" w:rsidRPr="00D2522C">
              <w:rPr>
                <w:lang w:val="hr-HR"/>
              </w:rPr>
              <w:t xml:space="preserve"> (</w:t>
            </w:r>
            <w:proofErr w:type="spellStart"/>
            <w:r>
              <w:rPr>
                <w:lang w:val="hr-HR"/>
              </w:rPr>
              <w:t>Хотел</w:t>
            </w:r>
            <w:proofErr w:type="spellEnd"/>
            <w:r w:rsidR="0025039F" w:rsidRPr="00D2522C">
              <w:rPr>
                <w:lang w:val="hr-HR"/>
              </w:rPr>
              <w:t xml:space="preserve"> „</w:t>
            </w:r>
            <w:proofErr w:type="spellStart"/>
            <w:r>
              <w:rPr>
                <w:lang w:val="hr-HR"/>
              </w:rPr>
              <w:t>Еро</w:t>
            </w:r>
            <w:proofErr w:type="spellEnd"/>
            <w:r w:rsidR="0025039F" w:rsidRPr="00D2522C">
              <w:rPr>
                <w:lang w:val="hr-HR"/>
              </w:rPr>
              <w:t>“)</w:t>
            </w:r>
          </w:p>
          <w:p w14:paraId="4FD228C1" w14:textId="7CE01EF6" w:rsidR="003D5024" w:rsidRPr="00D2522C" w:rsidRDefault="003D5024" w:rsidP="009D29DB">
            <w:pPr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 xml:space="preserve">88 000 </w:t>
            </w:r>
            <w:proofErr w:type="spellStart"/>
            <w:r w:rsidR="001743FF">
              <w:rPr>
                <w:lang w:val="hr-HR"/>
              </w:rPr>
              <w:t>Мостар</w:t>
            </w:r>
            <w:proofErr w:type="spellEnd"/>
          </w:p>
          <w:p w14:paraId="6ADF8E17" w14:textId="77777777" w:rsidR="0025039F" w:rsidRPr="00D2522C" w:rsidRDefault="0025039F" w:rsidP="009D29DB">
            <w:pPr>
              <w:jc w:val="both"/>
              <w:rPr>
                <w:lang w:val="hr-HR"/>
              </w:rPr>
            </w:pPr>
          </w:p>
          <w:p w14:paraId="0ECAB49F" w14:textId="21428977" w:rsidR="003D5024" w:rsidRPr="00D2522C" w:rsidRDefault="001743FF" w:rsidP="00257D6E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Са</w:t>
            </w:r>
            <w:proofErr w:type="spellEnd"/>
            <w:r w:rsidR="003D502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напоменом</w:t>
            </w:r>
            <w:proofErr w:type="spellEnd"/>
            <w:r w:rsidR="003D5024" w:rsidRPr="00D2522C">
              <w:rPr>
                <w:lang w:val="hr-HR"/>
              </w:rPr>
              <w:t>: „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3D502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</w:t>
            </w:r>
            <w:proofErr w:type="spellEnd"/>
            <w:r w:rsidR="003D502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</w:t>
            </w:r>
            <w:proofErr w:type="spellEnd"/>
            <w:r w:rsidR="003D502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ПОДРШКА</w:t>
            </w:r>
            <w:r w:rsidR="009D29DB" w:rsidRPr="00D2522C">
              <w:rPr>
                <w:lang w:val="hr-HR"/>
              </w:rPr>
              <w:t xml:space="preserve"> </w:t>
            </w:r>
            <w:r w:rsidR="008678C7">
              <w:rPr>
                <w:lang w:val="hr-HR"/>
              </w:rPr>
              <w:t>I</w:t>
            </w:r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ПОКРОВ</w:t>
            </w:r>
            <w:r w:rsidR="008678C7">
              <w:rPr>
                <w:lang w:val="hr-HR"/>
              </w:rPr>
              <w:t>I</w:t>
            </w:r>
            <w:r>
              <w:rPr>
                <w:lang w:val="hr-HR"/>
              </w:rPr>
              <w:t>ТЕЉСТВО</w:t>
            </w:r>
            <w:r w:rsidR="009D29DB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НАУКА</w:t>
            </w:r>
            <w:r w:rsidR="008D6338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Програм</w:t>
            </w:r>
            <w:proofErr w:type="spellEnd"/>
            <w:r w:rsidR="008D6338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број</w:t>
            </w:r>
            <w:proofErr w:type="spellEnd"/>
            <w:r w:rsidR="008D6338" w:rsidRPr="00D2522C">
              <w:rPr>
                <w:lang w:val="hr-HR"/>
              </w:rPr>
              <w:t>:____</w:t>
            </w:r>
            <w:r w:rsidR="003D5024" w:rsidRPr="00D2522C">
              <w:rPr>
                <w:lang w:val="hr-HR"/>
              </w:rPr>
              <w:t xml:space="preserve"> – </w:t>
            </w:r>
            <w:proofErr w:type="spellStart"/>
            <w:r>
              <w:rPr>
                <w:lang w:val="hr-HR"/>
              </w:rPr>
              <w:t>не</w:t>
            </w:r>
            <w:proofErr w:type="spellEnd"/>
            <w:r w:rsidR="003D502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отварати</w:t>
            </w:r>
            <w:proofErr w:type="spellEnd"/>
            <w:r w:rsidR="003D5024" w:rsidRPr="00D2522C">
              <w:rPr>
                <w:lang w:val="hr-HR"/>
              </w:rPr>
              <w:t>“</w:t>
            </w:r>
          </w:p>
          <w:p w14:paraId="67D4011E" w14:textId="4B3BBE47" w:rsidR="005971C4" w:rsidRPr="00D2522C" w:rsidRDefault="005971C4" w:rsidP="009D29DB">
            <w:pPr>
              <w:jc w:val="both"/>
              <w:rPr>
                <w:lang w:val="hr-HR"/>
              </w:rPr>
            </w:pPr>
          </w:p>
          <w:p w14:paraId="4DFF9697" w14:textId="2F7B8117" w:rsidR="005971C4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Осим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слања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апликаци</w:t>
            </w:r>
            <w:proofErr w:type="spellEnd"/>
            <w:r w:rsidR="008678C7">
              <w:rPr>
                <w:lang w:val="sr-Cyrl-BA"/>
              </w:rPr>
              <w:t>оног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обрасца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финансијског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плана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остале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предвиђене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документације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поштом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адресу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подносилац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апликације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дужан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попуњен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апликаци</w:t>
            </w:r>
            <w:proofErr w:type="spellEnd"/>
            <w:r w:rsidR="008678C7">
              <w:rPr>
                <w:lang w:val="sr-Cyrl-BA"/>
              </w:rPr>
              <w:t>они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образац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те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попуњен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образац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финансијског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плана</w:t>
            </w:r>
            <w:proofErr w:type="spellEnd"/>
            <w:r w:rsidR="005971C4" w:rsidRPr="00D2522C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доставити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путем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електронске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поште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адресу</w:t>
            </w:r>
            <w:proofErr w:type="spellEnd"/>
            <w:r w:rsidR="005971C4" w:rsidRPr="00D2522C">
              <w:rPr>
                <w:lang w:val="hr-HR"/>
              </w:rPr>
              <w:t xml:space="preserve">: </w:t>
            </w:r>
            <w:hyperlink r:id="rId5" w:history="1">
              <w:r w:rsidR="008678C7">
                <w:rPr>
                  <w:rStyle w:val="Hiperveza"/>
                  <w:lang w:val="hr-HR"/>
                </w:rPr>
                <w:t>prijave</w:t>
              </w:r>
              <w:r w:rsidR="005971C4" w:rsidRPr="00D2522C">
                <w:rPr>
                  <w:rStyle w:val="Hiperveza"/>
                  <w:lang w:val="hr-HR"/>
                </w:rPr>
                <w:t>@</w:t>
              </w:r>
              <w:r w:rsidR="008678C7">
                <w:rPr>
                  <w:rStyle w:val="Hiperveza"/>
                  <w:lang w:val="hr-HR"/>
                </w:rPr>
                <w:t>fmon</w:t>
              </w:r>
              <w:r w:rsidR="005971C4" w:rsidRPr="00D2522C">
                <w:rPr>
                  <w:rStyle w:val="Hiperveza"/>
                  <w:lang w:val="hr-HR"/>
                </w:rPr>
                <w:t>.</w:t>
              </w:r>
              <w:r w:rsidR="008678C7">
                <w:rPr>
                  <w:rStyle w:val="Hiperveza"/>
                  <w:lang w:val="hr-HR"/>
                </w:rPr>
                <w:t>gov</w:t>
              </w:r>
              <w:r w:rsidR="005971C4" w:rsidRPr="00D2522C">
                <w:rPr>
                  <w:rStyle w:val="Hiperveza"/>
                  <w:lang w:val="hr-HR"/>
                </w:rPr>
                <w:t>.</w:t>
              </w:r>
              <w:r w:rsidR="008678C7">
                <w:rPr>
                  <w:rStyle w:val="Hiperveza"/>
                  <w:lang w:val="hr-HR"/>
                </w:rPr>
                <w:t>ba</w:t>
              </w:r>
            </w:hyperlink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најкасније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до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истека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рока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пријаве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</w:t>
            </w:r>
            <w:proofErr w:type="spellEnd"/>
            <w:r w:rsidR="005971C4" w:rsidRPr="00D2522C">
              <w:rPr>
                <w:lang w:val="hr-HR"/>
              </w:rPr>
              <w:t>.</w:t>
            </w:r>
          </w:p>
          <w:p w14:paraId="36391457" w14:textId="085CF0BD" w:rsidR="000843B5" w:rsidRPr="00D2522C" w:rsidRDefault="000843B5" w:rsidP="009D29DB">
            <w:pPr>
              <w:jc w:val="both"/>
              <w:rPr>
                <w:lang w:val="hr-HR"/>
              </w:rPr>
            </w:pPr>
          </w:p>
          <w:p w14:paraId="3823487B" w14:textId="60515798" w:rsidR="000843B5" w:rsidRPr="00D2522C" w:rsidRDefault="001743FF" w:rsidP="009D29DB">
            <w:pPr>
              <w:jc w:val="both"/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Рокови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начин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комуникације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са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даваоцем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буџетских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средстава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током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трајања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јавног</w:t>
            </w:r>
            <w:proofErr w:type="spellEnd"/>
            <w:r w:rsidR="000843B5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позива</w:t>
            </w:r>
            <w:proofErr w:type="spellEnd"/>
            <w:r w:rsidR="000843B5" w:rsidRPr="00D2522C">
              <w:rPr>
                <w:b/>
                <w:bCs/>
                <w:lang w:val="hr-HR"/>
              </w:rPr>
              <w:t>:</w:t>
            </w:r>
          </w:p>
          <w:p w14:paraId="3531CF5B" w14:textId="52FB8EE1" w:rsidR="005971C4" w:rsidRPr="00D2522C" w:rsidRDefault="001743FF" w:rsidP="009D29DB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Начин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комуникације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с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Федералним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образовања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науке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за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вријеме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трајања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Јавног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позива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одвија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се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три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начина</w:t>
            </w:r>
            <w:proofErr w:type="spellEnd"/>
            <w:r w:rsidR="005971C4" w:rsidRPr="00D2522C">
              <w:rPr>
                <w:lang w:val="hr-HR"/>
              </w:rPr>
              <w:t xml:space="preserve">: </w:t>
            </w:r>
          </w:p>
          <w:p w14:paraId="52ECB5E4" w14:textId="69A8ABCE" w:rsidR="005971C4" w:rsidRPr="00D2522C" w:rsidRDefault="005971C4" w:rsidP="009D29DB">
            <w:pPr>
              <w:ind w:left="625" w:hanging="283"/>
              <w:jc w:val="both"/>
              <w:rPr>
                <w:lang w:val="hr-HR"/>
              </w:rPr>
            </w:pPr>
            <w:r w:rsidRPr="00D2522C">
              <w:rPr>
                <w:lang w:val="hr-HR"/>
              </w:rPr>
              <w:t>1.</w:t>
            </w:r>
            <w:r w:rsidRPr="00D2522C">
              <w:rPr>
                <w:lang w:val="hr-HR"/>
              </w:rPr>
              <w:tab/>
            </w:r>
            <w:proofErr w:type="spellStart"/>
            <w:r w:rsidR="001743FF">
              <w:rPr>
                <w:lang w:val="hr-HR"/>
              </w:rPr>
              <w:t>Упитима</w:t>
            </w:r>
            <w:proofErr w:type="spellEnd"/>
            <w:r w:rsidRPr="00D2522C">
              <w:rPr>
                <w:lang w:val="hr-HR"/>
              </w:rPr>
              <w:t xml:space="preserve"> </w:t>
            </w:r>
            <w:r w:rsidR="001743FF">
              <w:rPr>
                <w:lang w:val="hr-HR"/>
              </w:rPr>
              <w:t>и</w:t>
            </w:r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дописима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посланим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на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адресу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електронске</w:t>
            </w:r>
            <w:proofErr w:type="spellEnd"/>
            <w:r w:rsidRPr="00D2522C">
              <w:rPr>
                <w:lang w:val="hr-HR"/>
              </w:rPr>
              <w:t xml:space="preserve"> </w:t>
            </w:r>
            <w:proofErr w:type="spellStart"/>
            <w:r w:rsidR="001743FF">
              <w:rPr>
                <w:lang w:val="hr-HR"/>
              </w:rPr>
              <w:t>поште</w:t>
            </w:r>
            <w:proofErr w:type="spellEnd"/>
            <w:r w:rsidRPr="00D2522C">
              <w:rPr>
                <w:lang w:val="hr-HR"/>
              </w:rPr>
              <w:t xml:space="preserve">: </w:t>
            </w:r>
            <w:hyperlink r:id="rId6" w:history="1">
              <w:r w:rsidR="008678C7">
                <w:rPr>
                  <w:rStyle w:val="Hiperveza"/>
                  <w:lang w:val="hr-HR"/>
                </w:rPr>
                <w:t>prijave</w:t>
              </w:r>
              <w:r w:rsidRPr="00D2522C">
                <w:rPr>
                  <w:rStyle w:val="Hiperveza"/>
                  <w:lang w:val="hr-HR"/>
                </w:rPr>
                <w:t>@</w:t>
              </w:r>
              <w:r w:rsidR="008678C7">
                <w:rPr>
                  <w:rStyle w:val="Hiperveza"/>
                  <w:lang w:val="hr-HR"/>
                </w:rPr>
                <w:t>fmon</w:t>
              </w:r>
              <w:r w:rsidRPr="00D2522C">
                <w:rPr>
                  <w:rStyle w:val="Hiperveza"/>
                  <w:lang w:val="hr-HR"/>
                </w:rPr>
                <w:t>.</w:t>
              </w:r>
              <w:r w:rsidR="008678C7">
                <w:rPr>
                  <w:rStyle w:val="Hiperveza"/>
                  <w:lang w:val="hr-HR"/>
                </w:rPr>
                <w:t>gov</w:t>
              </w:r>
              <w:r w:rsidRPr="00D2522C">
                <w:rPr>
                  <w:rStyle w:val="Hiperveza"/>
                  <w:lang w:val="hr-HR"/>
                </w:rPr>
                <w:t>.</w:t>
              </w:r>
              <w:r w:rsidR="008678C7">
                <w:rPr>
                  <w:rStyle w:val="Hiperveza"/>
                  <w:lang w:val="hr-HR"/>
                </w:rPr>
                <w:t>ba</w:t>
              </w:r>
            </w:hyperlink>
            <w:r w:rsidRPr="00D2522C">
              <w:rPr>
                <w:lang w:val="hr-HR"/>
              </w:rPr>
              <w:t xml:space="preserve"> ,</w:t>
            </w:r>
          </w:p>
          <w:p w14:paraId="5D5297C4" w14:textId="797BF246" w:rsidR="005971C4" w:rsidRPr="00D2522C" w:rsidRDefault="001743FF" w:rsidP="005F2104">
            <w:pPr>
              <w:pStyle w:val="Odlomakpopisa"/>
              <w:numPr>
                <w:ilvl w:val="0"/>
                <w:numId w:val="15"/>
              </w:num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Објавом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најчешћих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питања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одговора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на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интернетској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страници</w:t>
            </w:r>
            <w:proofErr w:type="spellEnd"/>
            <w:r w:rsidR="005971C4" w:rsidRPr="00D2522C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Министарства</w:t>
            </w:r>
            <w:proofErr w:type="spellEnd"/>
            <w:r w:rsidR="005971C4" w:rsidRPr="00D2522C">
              <w:rPr>
                <w:lang w:val="hr-HR"/>
              </w:rPr>
              <w:t xml:space="preserve"> – www.</w:t>
            </w:r>
            <w:r w:rsidR="008678C7">
              <w:rPr>
                <w:lang w:val="hr-HR"/>
              </w:rPr>
              <w:t>fmon</w:t>
            </w:r>
            <w:r w:rsidR="005971C4" w:rsidRPr="00D2522C">
              <w:rPr>
                <w:lang w:val="hr-HR"/>
              </w:rPr>
              <w:t>.</w:t>
            </w:r>
            <w:r w:rsidR="008678C7">
              <w:rPr>
                <w:lang w:val="hr-HR"/>
              </w:rPr>
              <w:t>gov</w:t>
            </w:r>
            <w:r w:rsidR="005971C4" w:rsidRPr="00D2522C">
              <w:rPr>
                <w:lang w:val="hr-HR"/>
              </w:rPr>
              <w:t>.</w:t>
            </w:r>
            <w:r w:rsidR="008678C7">
              <w:rPr>
                <w:lang w:val="hr-HR"/>
              </w:rPr>
              <w:t>ba</w:t>
            </w:r>
            <w:r w:rsidR="005971C4" w:rsidRPr="00D2522C">
              <w:rPr>
                <w:lang w:val="hr-HR"/>
              </w:rPr>
              <w:t xml:space="preserve">. </w:t>
            </w:r>
          </w:p>
          <w:p w14:paraId="53C0B338" w14:textId="3F954A5D" w:rsidR="005F2104" w:rsidRPr="00D2522C" w:rsidRDefault="005F2104" w:rsidP="005F2104">
            <w:pPr>
              <w:pStyle w:val="Odlomakpopisa"/>
              <w:jc w:val="both"/>
              <w:rPr>
                <w:lang w:val="hr-HR"/>
              </w:rPr>
            </w:pPr>
          </w:p>
        </w:tc>
      </w:tr>
      <w:tr w:rsidR="0025663B" w:rsidRPr="00D2522C" w14:paraId="7CCFC57C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11DBBE81" w14:textId="009CE0E7" w:rsidR="0025663B" w:rsidRPr="00D2522C" w:rsidRDefault="0025663B" w:rsidP="00531CAA">
            <w:pPr>
              <w:rPr>
                <w:lang w:val="hr-HR"/>
              </w:rPr>
            </w:pPr>
            <w:r w:rsidRPr="00D2522C">
              <w:rPr>
                <w:lang w:val="hr-HR"/>
              </w:rPr>
              <w:lastRenderedPageBreak/>
              <w:t>17</w:t>
            </w:r>
          </w:p>
        </w:tc>
        <w:tc>
          <w:tcPr>
            <w:tcW w:w="3202" w:type="dxa"/>
            <w:vAlign w:val="center"/>
          </w:tcPr>
          <w:p w14:paraId="36281B27" w14:textId="6D825485" w:rsidR="0025663B" w:rsidRPr="00D2522C" w:rsidRDefault="001743FF" w:rsidP="00531CAA">
            <w:pPr>
              <w:rPr>
                <w:b/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Додатне</w:t>
            </w:r>
            <w:proofErr w:type="spellEnd"/>
            <w:r w:rsidR="0025663B" w:rsidRPr="00D2522C">
              <w:rPr>
                <w:b/>
                <w:bCs/>
                <w:lang w:val="hr-HR"/>
              </w:rPr>
              <w:t xml:space="preserve"> </w:t>
            </w:r>
            <w:proofErr w:type="spellStart"/>
            <w:r>
              <w:rPr>
                <w:b/>
                <w:bCs/>
                <w:lang w:val="hr-HR"/>
              </w:rPr>
              <w:t>напомене</w:t>
            </w:r>
            <w:proofErr w:type="spellEnd"/>
          </w:p>
        </w:tc>
        <w:tc>
          <w:tcPr>
            <w:tcW w:w="6390" w:type="dxa"/>
            <w:vAlign w:val="center"/>
          </w:tcPr>
          <w:p w14:paraId="4C8CDBBF" w14:textId="72281209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складу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чланом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57. </w:t>
            </w:r>
            <w:proofErr w:type="spellStart"/>
            <w:r>
              <w:rPr>
                <w:bCs/>
                <w:lang w:val="hr-HR"/>
              </w:rPr>
              <w:t>Закона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буџетима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Федерацији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(„</w:t>
            </w:r>
            <w:proofErr w:type="spellStart"/>
            <w:r>
              <w:rPr>
                <w:bCs/>
                <w:lang w:val="hr-HR"/>
              </w:rPr>
              <w:t>Службене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новине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Федерације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“, </w:t>
            </w:r>
            <w:proofErr w:type="spellStart"/>
            <w:r>
              <w:rPr>
                <w:bCs/>
                <w:lang w:val="hr-HR"/>
              </w:rPr>
              <w:t>бр</w:t>
            </w:r>
            <w:proofErr w:type="spellEnd"/>
            <w:r w:rsidR="0025663B" w:rsidRPr="00D2522C">
              <w:rPr>
                <w:bCs/>
                <w:lang w:val="hr-HR"/>
              </w:rPr>
              <w:t xml:space="preserve">. 102/13, 9/14, 13/14, 8/15, 91/15, 102/15, 104/16, 5/18, 11/19, 99/19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25</w:t>
            </w:r>
            <w:r>
              <w:rPr>
                <w:bCs/>
                <w:lang w:val="hr-HR"/>
              </w:rPr>
              <w:t>а</w:t>
            </w:r>
            <w:r w:rsidR="0025663B" w:rsidRPr="00D2522C">
              <w:rPr>
                <w:bCs/>
                <w:lang w:val="hr-HR"/>
              </w:rPr>
              <w:t xml:space="preserve">/22), </w:t>
            </w:r>
            <w:proofErr w:type="spellStart"/>
            <w:r>
              <w:rPr>
                <w:bCs/>
                <w:lang w:val="hr-HR"/>
              </w:rPr>
              <w:t>корисници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евиденцијама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Министарства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закључења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нису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доставили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 w:rsidR="008678C7">
              <w:rPr>
                <w:bCs/>
                <w:lang w:val="hr-HR"/>
              </w:rPr>
              <w:t>I</w:t>
            </w:r>
            <w:r>
              <w:rPr>
                <w:bCs/>
                <w:lang w:val="hr-HR"/>
              </w:rPr>
              <w:t>звјештај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намјенском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утрошку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односно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нису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оправдали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додијељена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претходном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периоду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r>
              <w:rPr>
                <w:bCs/>
                <w:lang w:val="hr-HR"/>
              </w:rPr>
              <w:t>а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дужни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учинити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испуњавају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увјете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додјелу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те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њихове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r>
              <w:rPr>
                <w:bCs/>
                <w:lang w:val="hr-HR"/>
              </w:rPr>
              <w:t>а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Министарство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 </w:t>
            </w:r>
            <w:proofErr w:type="spellStart"/>
            <w:r>
              <w:rPr>
                <w:bCs/>
                <w:lang w:val="hr-HR"/>
              </w:rPr>
              <w:t>бити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присиљено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путем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надлежних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органа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подузме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одговарајуће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мјере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складу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законом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 </w:t>
            </w:r>
            <w:proofErr w:type="spellStart"/>
            <w:r>
              <w:rPr>
                <w:bCs/>
                <w:lang w:val="hr-HR"/>
              </w:rPr>
              <w:t>циљу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заштите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намјенског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утрошка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 </w:t>
            </w:r>
            <w:proofErr w:type="spellStart"/>
            <w:r>
              <w:rPr>
                <w:bCs/>
                <w:lang w:val="hr-HR"/>
              </w:rPr>
              <w:t>додијељених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. </w:t>
            </w:r>
          </w:p>
          <w:p w14:paraId="52D6FC3D" w14:textId="65F0B01A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Средства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финансирање</w:t>
            </w:r>
            <w:proofErr w:type="spellEnd"/>
            <w:r w:rsidR="0025663B" w:rsidRPr="00D2522C">
              <w:rPr>
                <w:bCs/>
                <w:lang w:val="hr-HR"/>
              </w:rPr>
              <w:t>/</w:t>
            </w:r>
            <w:proofErr w:type="spellStart"/>
            <w:r>
              <w:rPr>
                <w:bCs/>
                <w:lang w:val="hr-HR"/>
              </w:rPr>
              <w:t>суфинансирање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пројеката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додјељиват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складу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Одлуком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усвајању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утрошка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с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критеријима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расподјеле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текућих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трансфера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утврђених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Буџетом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 </w:t>
            </w:r>
            <w:proofErr w:type="spellStart"/>
            <w:r>
              <w:rPr>
                <w:bCs/>
                <w:lang w:val="hr-HR"/>
              </w:rPr>
              <w:t>Федерације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Босне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Херцеговине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2025. </w:t>
            </w:r>
            <w:proofErr w:type="spellStart"/>
            <w:r>
              <w:rPr>
                <w:bCs/>
                <w:lang w:val="hr-HR"/>
              </w:rPr>
              <w:t>годину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Федералном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министарству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образовања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науке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(„</w:t>
            </w:r>
            <w:proofErr w:type="spellStart"/>
            <w:r>
              <w:rPr>
                <w:bCs/>
                <w:lang w:val="hr-HR"/>
              </w:rPr>
              <w:t>Службене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новине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Федерације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“, </w:t>
            </w:r>
            <w:proofErr w:type="spellStart"/>
            <w:r>
              <w:rPr>
                <w:bCs/>
                <w:lang w:val="hr-HR"/>
              </w:rPr>
              <w:t>број</w:t>
            </w:r>
            <w:proofErr w:type="spellEnd"/>
            <w:r w:rsidR="0025663B" w:rsidRPr="00D2522C">
              <w:rPr>
                <w:bCs/>
                <w:lang w:val="hr-HR"/>
              </w:rPr>
              <w:t xml:space="preserve">  31/25).</w:t>
            </w:r>
          </w:p>
          <w:p w14:paraId="1C977F70" w14:textId="710427AB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Саставни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дио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чине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</w:t>
            </w:r>
            <w:proofErr w:type="spellEnd"/>
            <w:r w:rsidR="008678C7">
              <w:rPr>
                <w:bCs/>
                <w:lang w:val="sr-Cyrl-BA"/>
              </w:rPr>
              <w:t>они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обрасци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сваки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Критерији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оцјењивање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Упутство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за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подносиоце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. </w:t>
            </w:r>
          </w:p>
          <w:p w14:paraId="7B00A5E7" w14:textId="170002E3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lastRenderedPageBreak/>
              <w:t>Уколико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подносилац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правна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физичка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особа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)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аплицира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потпуности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испуни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потпише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овјери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</w:t>
            </w:r>
            <w:proofErr w:type="spellEnd"/>
            <w:r w:rsidR="008678C7">
              <w:rPr>
                <w:bCs/>
                <w:lang w:val="sr-Cyrl-BA"/>
              </w:rPr>
              <w:t xml:space="preserve">они </w:t>
            </w:r>
            <w:proofErr w:type="spellStart"/>
            <w:r>
              <w:rPr>
                <w:bCs/>
                <w:lang w:val="hr-HR"/>
              </w:rPr>
              <w:t>образац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финансијски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план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његова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  <w:p w14:paraId="62E9944A" w14:textId="3B2D8D4D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Уколико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подносилац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правна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физичка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особа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)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аплицира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достави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попуњен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овјерен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</w:t>
            </w:r>
            <w:proofErr w:type="spellEnd"/>
            <w:r w:rsidR="008678C7">
              <w:rPr>
                <w:bCs/>
                <w:lang w:val="sr-Cyrl-BA"/>
              </w:rPr>
              <w:t>они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образац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финансијски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план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електронским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путем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наведену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 w:rsidR="008678C7">
              <w:rPr>
                <w:bCs/>
                <w:lang w:val="hr-HR"/>
              </w:rPr>
              <w:t>e</w:t>
            </w:r>
            <w:r w:rsidR="0025663B" w:rsidRPr="00D2522C">
              <w:rPr>
                <w:bCs/>
                <w:lang w:val="hr-HR"/>
              </w:rPr>
              <w:t>-</w:t>
            </w:r>
            <w:r w:rsidR="008678C7">
              <w:rPr>
                <w:bCs/>
                <w:lang w:val="hr-HR"/>
              </w:rPr>
              <w:t>mail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адресу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предвиђеном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року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његова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  <w:p w14:paraId="35EAC103" w14:textId="3FAA0135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Уколико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подносилац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правна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физичка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особа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)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аплицира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достави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више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приједлога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броја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предвиђеног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овисно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), </w:t>
            </w:r>
            <w:proofErr w:type="spellStart"/>
            <w:r>
              <w:rPr>
                <w:bCs/>
                <w:lang w:val="hr-HR"/>
              </w:rPr>
              <w:t>његова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  <w:p w14:paraId="09FB59AC" w14:textId="1761A050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Уколико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подносилац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правна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физичка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особа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)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аплицира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тражи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износ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мањи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минимално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предвиђеног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већи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максимално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дозвољеног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појединачним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његова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  <w:p w14:paraId="0AABDD33" w14:textId="46216E35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Уколико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подносилац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апликације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(</w:t>
            </w:r>
            <w:proofErr w:type="spellStart"/>
            <w:r>
              <w:rPr>
                <w:bCs/>
                <w:lang w:val="hr-HR"/>
              </w:rPr>
              <w:t>правна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или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физичка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особа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)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аплицира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неки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позива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није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доставио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извјештај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намјенском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утрошку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добио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ФМОН</w:t>
            </w:r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а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дужан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доставити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његова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разматрати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  <w:p w14:paraId="7E51AC77" w14:textId="5874C48B" w:rsidR="0025663B" w:rsidRPr="00D2522C" w:rsidRDefault="001743FF" w:rsidP="009D29DB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Сви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пројекти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буду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одобрени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оквиру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овог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реализирани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децембру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2025. </w:t>
            </w:r>
            <w:proofErr w:type="spellStart"/>
            <w:r>
              <w:rPr>
                <w:bCs/>
                <w:lang w:val="hr-HR"/>
              </w:rPr>
              <w:t>године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сматрат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интегралним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дијелом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програма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обиљежавања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овогодишњег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Дана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науке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Федерацији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БиХ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те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апликанти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којима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буду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додијељена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средства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обавезни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наведу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својим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промотивним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другим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пројектним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материјалима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намијењеним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Јавности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као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медијским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иступима</w:t>
            </w:r>
            <w:proofErr w:type="spellEnd"/>
            <w:r w:rsidR="0025663B" w:rsidRPr="00D2522C"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те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о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томе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информирају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Министарство</w:t>
            </w:r>
            <w:proofErr w:type="spellEnd"/>
            <w:r w:rsidR="0025663B" w:rsidRPr="00D2522C">
              <w:rPr>
                <w:bCs/>
                <w:lang w:val="hr-HR"/>
              </w:rPr>
              <w:t xml:space="preserve">. </w:t>
            </w:r>
          </w:p>
          <w:p w14:paraId="3BA67B2A" w14:textId="062AD7D2" w:rsidR="0025663B" w:rsidRPr="00D2522C" w:rsidRDefault="001743FF" w:rsidP="00531CAA">
            <w:pPr>
              <w:pStyle w:val="Odlomakpopisa"/>
              <w:numPr>
                <w:ilvl w:val="0"/>
                <w:numId w:val="10"/>
              </w:numPr>
              <w:ind w:left="484"/>
              <w:jc w:val="both"/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Неблаговремене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и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неодговарајуће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пријаве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неће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се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узимати</w:t>
            </w:r>
            <w:proofErr w:type="spellEnd"/>
            <w:r w:rsidR="0025663B" w:rsidRPr="00D2522C">
              <w:rPr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у</w:t>
            </w:r>
            <w:r w:rsidR="0025663B" w:rsidRPr="00D2522C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разматрање</w:t>
            </w:r>
            <w:proofErr w:type="spellEnd"/>
            <w:r w:rsidR="0025663B" w:rsidRPr="00D2522C">
              <w:rPr>
                <w:bCs/>
                <w:lang w:val="hr-HR"/>
              </w:rPr>
              <w:t>.</w:t>
            </w:r>
          </w:p>
        </w:tc>
      </w:tr>
    </w:tbl>
    <w:p w14:paraId="2EAC1424" w14:textId="77777777" w:rsidR="00531CAA" w:rsidRPr="00D2522C" w:rsidRDefault="00531CAA" w:rsidP="00531CAA">
      <w:pPr>
        <w:rPr>
          <w:lang w:val="hr-HR"/>
        </w:rPr>
      </w:pPr>
    </w:p>
    <w:p w14:paraId="1A8D7821" w14:textId="77777777" w:rsidR="00531CAA" w:rsidRPr="00D2522C" w:rsidRDefault="00531CAA" w:rsidP="00531CAA">
      <w:pPr>
        <w:rPr>
          <w:lang w:val="hr-HR"/>
        </w:rPr>
      </w:pPr>
    </w:p>
    <w:p w14:paraId="404655AB" w14:textId="77777777" w:rsidR="008A43F2" w:rsidRPr="00D2522C" w:rsidRDefault="008A43F2">
      <w:pPr>
        <w:rPr>
          <w:lang w:val="hr-HR"/>
        </w:rPr>
      </w:pPr>
    </w:p>
    <w:sectPr w:rsidR="008A43F2" w:rsidRPr="00D2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1BD"/>
    <w:multiLevelType w:val="hybridMultilevel"/>
    <w:tmpl w:val="D76C0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16B"/>
    <w:multiLevelType w:val="hybridMultilevel"/>
    <w:tmpl w:val="9368626A"/>
    <w:lvl w:ilvl="0" w:tplc="041A000F">
      <w:start w:val="1"/>
      <w:numFmt w:val="decimal"/>
      <w:lvlText w:val="%1."/>
      <w:lvlJc w:val="left"/>
      <w:pPr>
        <w:ind w:left="1345" w:hanging="360"/>
      </w:pPr>
    </w:lvl>
    <w:lvl w:ilvl="1" w:tplc="041A0019" w:tentative="1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" w15:restartNumberingAfterBreak="0">
    <w:nsid w:val="18CB53E6"/>
    <w:multiLevelType w:val="hybridMultilevel"/>
    <w:tmpl w:val="AE8CB98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D1A"/>
    <w:multiLevelType w:val="hybridMultilevel"/>
    <w:tmpl w:val="10642D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1076"/>
    <w:multiLevelType w:val="hybridMultilevel"/>
    <w:tmpl w:val="65969F84"/>
    <w:lvl w:ilvl="0" w:tplc="BEB471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3F0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36F"/>
    <w:multiLevelType w:val="hybridMultilevel"/>
    <w:tmpl w:val="F2FAE25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5F3C"/>
    <w:multiLevelType w:val="hybridMultilevel"/>
    <w:tmpl w:val="8CB8F954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B715D"/>
    <w:multiLevelType w:val="hybridMultilevel"/>
    <w:tmpl w:val="1946E676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53E9540E"/>
    <w:multiLevelType w:val="hybridMultilevel"/>
    <w:tmpl w:val="D7B60CC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3146"/>
    <w:multiLevelType w:val="hybridMultilevel"/>
    <w:tmpl w:val="2B0CC69A"/>
    <w:lvl w:ilvl="0" w:tplc="7ABC01FA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54C5"/>
    <w:multiLevelType w:val="hybridMultilevel"/>
    <w:tmpl w:val="E2684C7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E440D"/>
    <w:multiLevelType w:val="hybridMultilevel"/>
    <w:tmpl w:val="0E6C8D90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8C3E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545E2"/>
    <w:rsid w:val="00072C5F"/>
    <w:rsid w:val="000843B5"/>
    <w:rsid w:val="00095EC6"/>
    <w:rsid w:val="000B5891"/>
    <w:rsid w:val="00102F11"/>
    <w:rsid w:val="00122D47"/>
    <w:rsid w:val="001534F8"/>
    <w:rsid w:val="00161610"/>
    <w:rsid w:val="001743FF"/>
    <w:rsid w:val="00180C3E"/>
    <w:rsid w:val="0025039F"/>
    <w:rsid w:val="0025663B"/>
    <w:rsid w:val="00257D6E"/>
    <w:rsid w:val="00287DEA"/>
    <w:rsid w:val="002C3F54"/>
    <w:rsid w:val="002D5EB0"/>
    <w:rsid w:val="003430D1"/>
    <w:rsid w:val="0036621D"/>
    <w:rsid w:val="003D5024"/>
    <w:rsid w:val="00456BE5"/>
    <w:rsid w:val="00463283"/>
    <w:rsid w:val="00490C62"/>
    <w:rsid w:val="00493BB0"/>
    <w:rsid w:val="00531CAA"/>
    <w:rsid w:val="005971C4"/>
    <w:rsid w:val="005F2104"/>
    <w:rsid w:val="00602606"/>
    <w:rsid w:val="006126FC"/>
    <w:rsid w:val="0062246E"/>
    <w:rsid w:val="0064482B"/>
    <w:rsid w:val="006567C9"/>
    <w:rsid w:val="006D6D24"/>
    <w:rsid w:val="00722A74"/>
    <w:rsid w:val="007C2E94"/>
    <w:rsid w:val="007D3850"/>
    <w:rsid w:val="007F3B7A"/>
    <w:rsid w:val="008000F4"/>
    <w:rsid w:val="00810C36"/>
    <w:rsid w:val="00821984"/>
    <w:rsid w:val="00827553"/>
    <w:rsid w:val="00827C93"/>
    <w:rsid w:val="00850259"/>
    <w:rsid w:val="008678C7"/>
    <w:rsid w:val="008A43F2"/>
    <w:rsid w:val="008C756B"/>
    <w:rsid w:val="008D6338"/>
    <w:rsid w:val="008E33AF"/>
    <w:rsid w:val="00900050"/>
    <w:rsid w:val="0090497E"/>
    <w:rsid w:val="00962FDE"/>
    <w:rsid w:val="009A16CD"/>
    <w:rsid w:val="009B6C93"/>
    <w:rsid w:val="009B6EE9"/>
    <w:rsid w:val="009D29DB"/>
    <w:rsid w:val="009D642D"/>
    <w:rsid w:val="00A22490"/>
    <w:rsid w:val="00A40C84"/>
    <w:rsid w:val="00A51A77"/>
    <w:rsid w:val="00AC4E85"/>
    <w:rsid w:val="00AF0410"/>
    <w:rsid w:val="00AF1841"/>
    <w:rsid w:val="00BD54B3"/>
    <w:rsid w:val="00C353B4"/>
    <w:rsid w:val="00C93581"/>
    <w:rsid w:val="00CA00D2"/>
    <w:rsid w:val="00CD3D81"/>
    <w:rsid w:val="00CF58EA"/>
    <w:rsid w:val="00D2522C"/>
    <w:rsid w:val="00D2680F"/>
    <w:rsid w:val="00D814B0"/>
    <w:rsid w:val="00DD2C43"/>
    <w:rsid w:val="00DD3831"/>
    <w:rsid w:val="00DE71AC"/>
    <w:rsid w:val="00E31E1F"/>
    <w:rsid w:val="00E36A09"/>
    <w:rsid w:val="00E53845"/>
    <w:rsid w:val="00E66AFB"/>
    <w:rsid w:val="00EF6EB2"/>
    <w:rsid w:val="00F02FA6"/>
    <w:rsid w:val="00F11788"/>
    <w:rsid w:val="00F409EA"/>
    <w:rsid w:val="00F4163F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6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e@fmon.gov.ba" TargetMode="External"/><Relationship Id="rId5" Type="http://schemas.openxmlformats.org/officeDocument/2006/relationships/hyperlink" Target="mailto:prijave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cp:lastPrinted>2024-06-10T13:37:00Z</cp:lastPrinted>
  <dcterms:created xsi:type="dcterms:W3CDTF">2025-06-04T12:27:00Z</dcterms:created>
  <dcterms:modified xsi:type="dcterms:W3CDTF">2025-06-04T14:02:00Z</dcterms:modified>
</cp:coreProperties>
</file>